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highlight w:val="none"/>
          <w:lang w:val="en-US" w:eastAsia="zh-CN"/>
          <w14:textFill>
            <w14:solidFill>
              <w14:schemeClr w14:val="tx1"/>
            </w14:solidFill>
          </w14:textFill>
        </w:rPr>
      </w:pPr>
      <w:r>
        <w:rPr>
          <w:b/>
          <w:color w:val="000000" w:themeColor="text1"/>
          <w:kern w:val="2"/>
          <w:highlight w:val="none"/>
          <w:lang w:eastAsia="zh-CN"/>
          <w14:textFill>
            <w14:solidFill>
              <w14:schemeClr w14:val="tx1"/>
            </w14:solidFill>
          </w14:textFill>
        </w:rPr>
        <w:t>3GPP TSG-RAN WG1 Meeting #</w:t>
      </w:r>
      <w:r>
        <w:rPr>
          <w:rFonts w:hint="eastAsia"/>
          <w:b/>
          <w:color w:val="000000" w:themeColor="text1"/>
          <w:kern w:val="2"/>
          <w:highlight w:val="none"/>
          <w:lang w:eastAsia="zh-CN"/>
          <w14:textFill>
            <w14:solidFill>
              <w14:schemeClr w14:val="tx1"/>
            </w14:solidFill>
          </w14:textFill>
        </w:rPr>
        <w:t>RAN 12</w:t>
      </w:r>
      <w:r>
        <w:rPr>
          <w:rFonts w:hint="eastAsia"/>
          <w:b/>
          <w:color w:val="000000" w:themeColor="text1"/>
          <w:kern w:val="2"/>
          <w:highlight w:val="none"/>
          <w:lang w:val="en-US" w:eastAsia="zh-CN"/>
          <w14:textFill>
            <w14:solidFill>
              <w14:schemeClr w14:val="tx1"/>
            </w14:solidFill>
          </w14:textFill>
        </w:rPr>
        <w:t>2b</w:t>
      </w:r>
      <w:r>
        <w:rPr>
          <w:b/>
          <w:color w:val="000000" w:themeColor="text1"/>
          <w:kern w:val="2"/>
          <w:highlight w:val="none"/>
          <w:lang w:eastAsia="zh-CN"/>
          <w14:textFill>
            <w14:solidFill>
              <w14:schemeClr w14:val="tx1"/>
            </w14:solidFill>
          </w14:textFill>
        </w:rPr>
        <w:tab/>
      </w:r>
      <w:r>
        <w:rPr>
          <w:b/>
          <w:color w:val="000000" w:themeColor="text1"/>
          <w:kern w:val="2"/>
          <w:highlight w:val="none"/>
          <w:lang w:eastAsia="zh-CN"/>
          <w14:textFill>
            <w14:solidFill>
              <w14:schemeClr w14:val="tx1"/>
            </w14:solidFill>
          </w14:textFill>
        </w:rPr>
        <w:t>R1-</w:t>
      </w:r>
      <w:r>
        <w:rPr>
          <w:rFonts w:hint="eastAsia"/>
          <w:b/>
          <w:color w:val="auto"/>
          <w:kern w:val="2"/>
          <w:highlight w:val="none"/>
          <w:lang w:val="en-US" w:eastAsia="zh-CN"/>
        </w:rPr>
        <w:t>2506844</w:t>
      </w:r>
    </w:p>
    <w:p w14:paraId="5D933E10">
      <w:pPr>
        <w:tabs>
          <w:tab w:val="right" w:pos="9216"/>
        </w:tabs>
        <w:spacing w:after="60"/>
        <w:rPr>
          <w:b/>
          <w:kern w:val="2"/>
          <w:szCs w:val="28"/>
          <w:highlight w:val="none"/>
          <w:lang w:eastAsia="zh-CN"/>
        </w:rPr>
      </w:pPr>
      <w:bookmarkStart w:id="0" w:name="_Hlk145941502"/>
      <w:r>
        <w:rPr>
          <w:rFonts w:hint="eastAsia"/>
          <w:b/>
          <w:kern w:val="2"/>
          <w:szCs w:val="28"/>
          <w:highlight w:val="none"/>
          <w:lang w:val="en-US" w:eastAsia="zh-CN"/>
        </w:rPr>
        <w:t>Prague, Czech Republic, Oct</w:t>
      </w:r>
      <w:r>
        <w:rPr>
          <w:b/>
          <w:kern w:val="2"/>
          <w:szCs w:val="28"/>
          <w:highlight w:val="none"/>
          <w:lang w:eastAsia="zh-CN"/>
        </w:rPr>
        <w:t xml:space="preserve"> </w:t>
      </w:r>
      <w:r>
        <w:rPr>
          <w:rFonts w:hint="eastAsia"/>
          <w:b/>
          <w:kern w:val="2"/>
          <w:szCs w:val="28"/>
          <w:highlight w:val="none"/>
          <w:lang w:val="en-US" w:eastAsia="zh-CN"/>
        </w:rPr>
        <w:t>13</w:t>
      </w:r>
      <w:r>
        <w:rPr>
          <w:b/>
          <w:kern w:val="2"/>
          <w:szCs w:val="28"/>
          <w:highlight w:val="none"/>
          <w:lang w:eastAsia="zh-CN"/>
        </w:rPr>
        <w:t xml:space="preserve">– </w:t>
      </w:r>
      <w:r>
        <w:rPr>
          <w:rFonts w:hint="eastAsia"/>
          <w:b/>
          <w:kern w:val="2"/>
          <w:szCs w:val="28"/>
          <w:highlight w:val="none"/>
          <w:lang w:val="en-US" w:eastAsia="zh-CN"/>
        </w:rPr>
        <w:t>17</w:t>
      </w:r>
      <w:r>
        <w:rPr>
          <w:b/>
          <w:kern w:val="2"/>
          <w:szCs w:val="28"/>
          <w:highlight w:val="none"/>
          <w:lang w:eastAsia="zh-CN"/>
        </w:rPr>
        <w:t>, 202</w:t>
      </w:r>
      <w:bookmarkEnd w:id="0"/>
      <w:r>
        <w:rPr>
          <w:b/>
          <w:kern w:val="2"/>
          <w:szCs w:val="28"/>
          <w:highlight w:val="none"/>
          <w:lang w:eastAsia="zh-CN"/>
        </w:rPr>
        <w:t>5</w:t>
      </w:r>
    </w:p>
    <w:p w14:paraId="65EC0AA1">
      <w:pPr>
        <w:pBdr>
          <w:top w:val="single" w:color="auto" w:sz="4" w:space="1"/>
        </w:pBdr>
        <w:spacing w:after="0"/>
        <w:rPr>
          <w:b/>
          <w:kern w:val="2"/>
          <w:sz w:val="16"/>
          <w:szCs w:val="16"/>
          <w:highlight w:val="none"/>
          <w:lang w:eastAsia="zh-CN"/>
        </w:rPr>
      </w:pPr>
    </w:p>
    <w:p w14:paraId="0A4EFCBE">
      <w:pPr>
        <w:tabs>
          <w:tab w:val="left" w:pos="2569"/>
        </w:tabs>
        <w:spacing w:after="60"/>
        <w:ind w:left="1555" w:hanging="1555"/>
        <w:rPr>
          <w:b/>
          <w:kern w:val="2"/>
          <w:highlight w:val="none"/>
          <w:lang w:eastAsia="zh-CN"/>
        </w:rPr>
      </w:pPr>
      <w:r>
        <w:rPr>
          <w:b/>
          <w:kern w:val="2"/>
          <w:highlight w:val="none"/>
          <w:lang w:eastAsia="zh-CN"/>
        </w:rPr>
        <w:t>Agenda Item:</w:t>
      </w:r>
      <w:r>
        <w:rPr>
          <w:b/>
          <w:kern w:val="2"/>
          <w:highlight w:val="none"/>
          <w:lang w:eastAsia="zh-CN"/>
        </w:rPr>
        <w:tab/>
      </w:r>
      <w:r>
        <w:rPr>
          <w:rFonts w:hint="eastAsia"/>
          <w:b/>
          <w:kern w:val="2"/>
          <w:highlight w:val="none"/>
          <w:lang w:val="en-US" w:eastAsia="zh-CN"/>
        </w:rPr>
        <w:t>10</w:t>
      </w:r>
      <w:r>
        <w:rPr>
          <w:rFonts w:hint="eastAsia"/>
          <w:b/>
          <w:kern w:val="2"/>
          <w:highlight w:val="none"/>
          <w:lang w:eastAsia="zh-CN"/>
        </w:rPr>
        <w:t>.</w:t>
      </w:r>
      <w:r>
        <w:rPr>
          <w:rFonts w:hint="eastAsia"/>
          <w:b/>
          <w:kern w:val="2"/>
          <w:highlight w:val="none"/>
          <w:lang w:val="en-US" w:eastAsia="zh-CN"/>
        </w:rPr>
        <w:t>2</w:t>
      </w:r>
      <w:r>
        <w:rPr>
          <w:rFonts w:hint="eastAsia"/>
          <w:b/>
          <w:kern w:val="2"/>
          <w:highlight w:val="none"/>
          <w:lang w:eastAsia="zh-CN"/>
        </w:rPr>
        <w:t>.</w:t>
      </w:r>
      <w:r>
        <w:rPr>
          <w:rFonts w:hint="eastAsia"/>
          <w:b/>
          <w:kern w:val="2"/>
          <w:highlight w:val="none"/>
          <w:lang w:val="en-US" w:eastAsia="zh-CN"/>
        </w:rPr>
        <w:t>2</w:t>
      </w:r>
      <w:r>
        <w:rPr>
          <w:rFonts w:hint="eastAsia"/>
          <w:b/>
          <w:kern w:val="2"/>
          <w:highlight w:val="none"/>
          <w:lang w:eastAsia="zh-CN"/>
        </w:rPr>
        <w:tab/>
      </w:r>
    </w:p>
    <w:p w14:paraId="1342BDBF">
      <w:pPr>
        <w:spacing w:after="60"/>
        <w:ind w:left="1555" w:hanging="1555"/>
        <w:rPr>
          <w:b/>
          <w:kern w:val="2"/>
          <w:highlight w:val="none"/>
          <w:lang w:eastAsia="zh-CN"/>
        </w:rPr>
      </w:pPr>
      <w:r>
        <w:rPr>
          <w:b/>
          <w:kern w:val="2"/>
          <w:highlight w:val="none"/>
          <w:lang w:eastAsia="zh-CN"/>
        </w:rPr>
        <w:t>Source:</w:t>
      </w:r>
      <w:r>
        <w:rPr>
          <w:b/>
          <w:kern w:val="2"/>
          <w:highlight w:val="none"/>
          <w:lang w:eastAsia="zh-CN"/>
        </w:rPr>
        <w:tab/>
      </w:r>
      <w:r>
        <w:rPr>
          <w:rFonts w:hint="eastAsia"/>
          <w:b/>
          <w:kern w:val="2"/>
          <w:highlight w:val="none"/>
          <w:lang w:eastAsia="zh-CN"/>
        </w:rPr>
        <w:t>TCL</w:t>
      </w:r>
    </w:p>
    <w:p w14:paraId="02760F20">
      <w:pPr>
        <w:spacing w:after="60"/>
        <w:ind w:left="1555" w:hanging="1555"/>
        <w:rPr>
          <w:rFonts w:hint="eastAsia"/>
          <w:b/>
          <w:kern w:val="2"/>
          <w:highlight w:val="none"/>
          <w:lang w:eastAsia="zh-CN"/>
        </w:rPr>
      </w:pPr>
      <w:r>
        <w:rPr>
          <w:b/>
          <w:kern w:val="2"/>
          <w:highlight w:val="none"/>
          <w:lang w:eastAsia="zh-CN"/>
        </w:rPr>
        <w:t>Title:</w:t>
      </w:r>
      <w:r>
        <w:rPr>
          <w:b/>
          <w:kern w:val="2"/>
          <w:highlight w:val="none"/>
          <w:lang w:eastAsia="zh-CN"/>
        </w:rPr>
        <w:tab/>
      </w:r>
      <w:r>
        <w:rPr>
          <w:rFonts w:hint="eastAsia"/>
          <w:b/>
          <w:kern w:val="2"/>
          <w:highlight w:val="none"/>
          <w:lang w:eastAsia="zh-CN"/>
        </w:rPr>
        <w:t>Enhancing DL CSI acquisition</w:t>
      </w:r>
    </w:p>
    <w:p w14:paraId="062EDDB9">
      <w:pPr>
        <w:spacing w:after="60"/>
        <w:ind w:left="1555" w:hanging="1555"/>
        <w:rPr>
          <w:b/>
          <w:kern w:val="2"/>
          <w:highlight w:val="none"/>
          <w:lang w:eastAsia="zh-CN"/>
        </w:rPr>
      </w:pPr>
      <w:r>
        <w:rPr>
          <w:b/>
          <w:kern w:val="2"/>
          <w:highlight w:val="none"/>
          <w:lang w:eastAsia="zh-CN"/>
        </w:rPr>
        <w:t>Document for:</w:t>
      </w:r>
      <w:r>
        <w:rPr>
          <w:b/>
          <w:kern w:val="2"/>
          <w:highlight w:val="none"/>
          <w:lang w:eastAsia="zh-CN"/>
        </w:rPr>
        <w:tab/>
      </w:r>
      <w:r>
        <w:rPr>
          <w:b/>
          <w:kern w:val="2"/>
          <w:highlight w:val="none"/>
          <w:lang w:eastAsia="zh-CN"/>
        </w:rPr>
        <w:t xml:space="preserve">Discussion and Decision </w:t>
      </w:r>
    </w:p>
    <w:p w14:paraId="4EFCC44C">
      <w:pPr>
        <w:pBdr>
          <w:bottom w:val="single" w:color="auto" w:sz="4" w:space="1"/>
        </w:pBdr>
        <w:spacing w:after="0"/>
        <w:rPr>
          <w:b/>
          <w:kern w:val="2"/>
          <w:sz w:val="16"/>
          <w:szCs w:val="16"/>
          <w:highlight w:val="none"/>
          <w:lang w:eastAsia="zh-CN"/>
        </w:rPr>
      </w:pPr>
    </w:p>
    <w:p w14:paraId="52036A05">
      <w:pPr>
        <w:pStyle w:val="2"/>
        <w:rPr>
          <w:highlight w:val="none"/>
        </w:rPr>
      </w:pPr>
      <w:bookmarkStart w:id="1" w:name="_Ref129681862"/>
      <w:bookmarkStart w:id="2" w:name="_Ref124589705"/>
      <w:r>
        <w:rPr>
          <w:rFonts w:hint="eastAsia"/>
          <w:highlight w:val="none"/>
          <w:lang w:eastAsia="zh-CN"/>
        </w:rPr>
        <w:t xml:space="preserve"> </w:t>
      </w:r>
      <w:r>
        <w:rPr>
          <w:highlight w:val="none"/>
        </w:rPr>
        <w:t>Introduction</w:t>
      </w:r>
      <w:bookmarkEnd w:id="1"/>
      <w:bookmarkEnd w:id="2"/>
    </w:p>
    <w:p w14:paraId="4050F06C">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eastAsia="zh-CN"/>
        </w:rPr>
        <w:t>Based on the discussion at the RAN#10</w:t>
      </w:r>
      <w:r>
        <w:rPr>
          <w:rFonts w:hint="eastAsia" w:cs="Times New Roman"/>
          <w:highlight w:val="none"/>
          <w:lang w:val="en-US" w:eastAsia="zh-CN"/>
        </w:rPr>
        <w:t>8</w:t>
      </w:r>
      <w:r>
        <w:rPr>
          <w:rFonts w:hint="eastAsia" w:ascii="Times New Roman" w:hAnsi="Times New Roman" w:eastAsia="宋体" w:cs="Times New Roman"/>
          <w:highlight w:val="none"/>
          <w:lang w:eastAsia="zh-CN"/>
        </w:rPr>
        <w:t xml:space="preserve"> meeting</w:t>
      </w:r>
      <w:r>
        <w:rPr>
          <w:rFonts w:hint="eastAsia" w:ascii="Times New Roman" w:hAnsi="Times New Roman" w:eastAsia="宋体" w:cs="Times New Roman"/>
          <w:highlight w:val="none"/>
          <w:lang w:val="en-US" w:eastAsia="zh-CN"/>
        </w:rPr>
        <w:t xml:space="preserve"> [1]</w:t>
      </w:r>
      <w:r>
        <w:rPr>
          <w:rFonts w:hint="eastAsia" w:ascii="Times New Roman" w:hAnsi="Times New Roman" w:eastAsia="宋体" w:cs="Times New Roman"/>
          <w:highlight w:val="none"/>
          <w:lang w:eastAsia="zh-CN"/>
        </w:rPr>
        <w:t xml:space="preserve">, </w:t>
      </w:r>
      <w:r>
        <w:rPr>
          <w:rFonts w:hint="eastAsia" w:cs="Times New Roman"/>
          <w:highlight w:val="none"/>
          <w:lang w:val="en-US" w:eastAsia="zh-CN"/>
        </w:rPr>
        <w:t xml:space="preserve">the main objectives on enhancing DL CSI acquisition as presented as follows: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612B2CD">
            <w:pPr>
              <w:keepNext w:val="0"/>
              <w:keepLines w:val="0"/>
              <w:widowControl w:val="0"/>
              <w:suppressLineNumbers w:val="0"/>
              <w:spacing w:before="0" w:beforeAutospacing="0" w:after="0" w:afterAutospacing="0"/>
              <w:ind w:left="420" w:right="0"/>
              <w:rPr>
                <w:rFonts w:hint="eastAsia"/>
                <w:highlight w:val="none"/>
                <w:lang w:eastAsia="zh-CN"/>
              </w:rPr>
            </w:pPr>
            <w:r>
              <w:rPr>
                <w:rFonts w:hint="eastAsia"/>
                <w:highlight w:val="none"/>
                <w:lang w:val="en-US" w:eastAsia="zh-CN"/>
              </w:rPr>
              <w:t xml:space="preserve"> </w:t>
            </w:r>
          </w:p>
          <w:p w14:paraId="7DE75A82">
            <w:pPr>
              <w:keepNext w:val="0"/>
              <w:keepLines w:val="0"/>
              <w:widowControl w:val="0"/>
              <w:numPr>
                <w:ilvl w:val="0"/>
                <w:numId w:val="6"/>
              </w:numPr>
              <w:suppressLineNumbers w:val="0"/>
              <w:tabs>
                <w:tab w:val="clear" w:pos="720"/>
              </w:tabs>
              <w:overflowPunct/>
              <w:autoSpaceDE/>
              <w:autoSpaceDN/>
              <w:adjustRightInd/>
              <w:snapToGrid w:val="0"/>
              <w:spacing w:before="0" w:beforeAutospacing="0" w:after="0" w:afterAutospacing="0"/>
              <w:ind w:left="360" w:right="0"/>
              <w:textAlignment w:val="auto"/>
              <w:rPr>
                <w:rFonts w:hint="eastAsia"/>
                <w:highlight w:val="none"/>
              </w:rPr>
            </w:pPr>
            <w:r>
              <w:rPr>
                <w:rFonts w:hint="eastAsia"/>
                <w:highlight w:val="none"/>
              </w:rPr>
              <w:t>On enhancing DL CSI acquisition, targeting FR1, specify the following enhancements:</w:t>
            </w:r>
          </w:p>
          <w:p w14:paraId="322B3634">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highlight w:val="none"/>
              </w:rPr>
            </w:pPr>
            <w:r>
              <w:rPr>
                <w:rFonts w:hint="eastAsia"/>
                <w:szCs w:val="22"/>
                <w:highlight w:val="none"/>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ACF7A4">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color w:val="auto"/>
                <w:highlight w:val="none"/>
              </w:rPr>
            </w:pPr>
            <w:r>
              <w:rPr>
                <w:rFonts w:hint="eastAsia"/>
                <w:color w:val="auto"/>
                <w:highlight w:val="none"/>
              </w:rPr>
              <w:t xml:space="preserve">Reusing the legacy design, limit the scope </w:t>
            </w:r>
            <w:r>
              <w:rPr>
                <w:rFonts w:hint="eastAsia"/>
                <w:i/>
                <w:color w:val="auto"/>
                <w:highlight w:val="none"/>
              </w:rPr>
              <w:t>only</w:t>
            </w:r>
            <w:r>
              <w:rPr>
                <w:rFonts w:hint="eastAsia"/>
                <w:color w:val="auto"/>
                <w:highlight w:val="none"/>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8B82259">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eastAsia="宋体"/>
                <w:color w:val="auto"/>
                <w:highlight w:val="none"/>
                <w:lang w:eastAsia="zh-CN"/>
              </w:rPr>
            </w:pPr>
            <w:r>
              <w:rPr>
                <w:rFonts w:hint="eastAsia"/>
                <w:color w:val="auto"/>
                <w:highlight w:val="none"/>
              </w:rPr>
              <w:t>For IDLE mode, UE capability for early triggering and resource/reporting configuration are signaled via MSG3 and System Information (SI), respectively</w:t>
            </w:r>
          </w:p>
          <w:p w14:paraId="4FDE1D36">
            <w:pPr>
              <w:keepNext w:val="0"/>
              <w:keepLines w:val="0"/>
              <w:widowControl w:val="0"/>
              <w:numPr>
                <w:ilvl w:val="0"/>
                <w:numId w:val="0"/>
              </w:numPr>
              <w:suppressLineNumbers w:val="0"/>
              <w:overflowPunct/>
              <w:autoSpaceDE/>
              <w:autoSpaceDN/>
              <w:adjustRightInd/>
              <w:snapToGrid w:val="0"/>
              <w:spacing w:before="0" w:beforeAutospacing="0" w:after="0" w:afterAutospacing="0"/>
              <w:ind w:left="0" w:right="0" w:rightChars="0"/>
              <w:jc w:val="both"/>
              <w:textAlignment w:val="auto"/>
              <w:rPr>
                <w:rFonts w:hint="eastAsia"/>
                <w:color w:val="auto"/>
                <w:highlight w:val="none"/>
              </w:rPr>
            </w:pPr>
          </w:p>
          <w:p w14:paraId="2C56A3D2">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color w:val="auto"/>
                <w:highlight w:val="none"/>
              </w:rPr>
            </w:pPr>
            <w:r>
              <w:rPr>
                <w:rFonts w:hint="eastAsia"/>
                <w:color w:val="auto"/>
                <w:szCs w:val="22"/>
                <w:highlight w:val="none"/>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C280E2C">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highlight w:val="none"/>
                <w:lang w:eastAsia="zh-CN"/>
              </w:rPr>
            </w:pPr>
            <w:r>
              <w:rPr>
                <w:rFonts w:hint="eastAsia"/>
                <w:highlight w:val="none"/>
              </w:rPr>
              <w:t>Density of 1/3 and 1/6 RE/RB/port are intended only for 48 ports</w:t>
            </w:r>
          </w:p>
          <w:p w14:paraId="05833E44">
            <w:pPr>
              <w:keepNext w:val="0"/>
              <w:keepLines w:val="0"/>
              <w:widowControl w:val="0"/>
              <w:suppressLineNumbers w:val="0"/>
              <w:spacing w:before="0" w:beforeAutospacing="0" w:after="0" w:afterAutospacing="0"/>
              <w:ind w:left="0" w:right="0"/>
              <w:rPr>
                <w:rFonts w:hint="eastAsia"/>
                <w:highlight w:val="none"/>
                <w:lang w:eastAsia="zh-CN"/>
              </w:rPr>
            </w:pPr>
          </w:p>
        </w:tc>
      </w:tr>
    </w:tbl>
    <w:p w14:paraId="49CEE0C6">
      <w:pPr>
        <w:rPr>
          <w:highlight w:val="none"/>
          <w:lang w:eastAsia="zh-CN"/>
        </w:rPr>
      </w:pPr>
    </w:p>
    <w:p w14:paraId="5B5CE1BF">
      <w:pPr>
        <w:rPr>
          <w:highlight w:val="none"/>
          <w:lang w:eastAsia="zh-CN"/>
        </w:rPr>
      </w:pPr>
      <w:r>
        <w:rPr>
          <w:highlight w:val="none"/>
          <w:lang w:eastAsia="zh-CN"/>
        </w:rPr>
        <w:t>In this contribution, we provide our views on</w:t>
      </w:r>
      <w:r>
        <w:rPr>
          <w:rFonts w:hint="eastAsia"/>
          <w:highlight w:val="none"/>
          <w:lang w:val="en-US" w:eastAsia="zh-CN"/>
        </w:rPr>
        <w:t xml:space="preserve"> the following two sections: the first one is for e</w:t>
      </w:r>
      <w:r>
        <w:rPr>
          <w:szCs w:val="22"/>
          <w:highlight w:val="none"/>
        </w:rPr>
        <w:t>arly SRS/CSI/CSI-RS triggering for UE transitioning from IDLE/INACTIVE to CONNECTED mode via MSG4 of 4-step RACH, as well as for SCell activation and switching out of SCell dormancy in CONNECTED mode via the legacy signaling mechanisms</w:t>
      </w:r>
    </w:p>
    <w:p w14:paraId="517EF38F">
      <w:pPr>
        <w:rPr>
          <w:highlight w:val="none"/>
          <w:lang w:eastAsia="zh-CN"/>
        </w:rPr>
      </w:pPr>
    </w:p>
    <w:p w14:paraId="0E52A63F">
      <w:pPr>
        <w:pStyle w:val="2"/>
        <w:rPr>
          <w:highlight w:val="none"/>
          <w:lang w:eastAsia="zh-CN"/>
        </w:rPr>
      </w:pPr>
      <w:bookmarkStart w:id="3" w:name="OLE_LINK7"/>
      <w:r>
        <w:rPr>
          <w:rFonts w:hint="eastAsia"/>
          <w:highlight w:val="none"/>
          <w:lang w:val="en-US" w:eastAsia="zh-CN"/>
        </w:rPr>
        <w:t xml:space="preserve"> Discussion</w:t>
      </w:r>
    </w:p>
    <w:p w14:paraId="6C12795F">
      <w:pPr>
        <w:rPr>
          <w:rFonts w:hint="default" w:eastAsia="宋体"/>
          <w:highlight w:val="none"/>
          <w:lang w:val="en-US" w:eastAsia="zh-CN"/>
        </w:rPr>
      </w:pPr>
      <w:r>
        <w:rPr>
          <w:rFonts w:hint="eastAsia"/>
          <w:highlight w:val="none"/>
          <w:lang w:eastAsia="zh-CN"/>
        </w:rPr>
        <w:t xml:space="preserve">In this </w:t>
      </w:r>
      <w:r>
        <w:rPr>
          <w:rFonts w:hint="eastAsia"/>
          <w:highlight w:val="none"/>
          <w:lang w:val="en-US" w:eastAsia="zh-CN"/>
        </w:rPr>
        <w:t>section</w:t>
      </w:r>
      <w:r>
        <w:rPr>
          <w:rFonts w:hint="eastAsia"/>
          <w:highlight w:val="none"/>
          <w:lang w:eastAsia="zh-CN"/>
        </w:rPr>
        <w:t>, our views are provided</w:t>
      </w:r>
      <w:r>
        <w:rPr>
          <w:rFonts w:hint="eastAsia"/>
          <w:highlight w:val="none"/>
          <w:lang w:val="en-US" w:eastAsia="zh-CN"/>
        </w:rPr>
        <w:t xml:space="preserve"> from the following three aspects：Early </w:t>
      </w:r>
      <w:r>
        <w:rPr>
          <w:szCs w:val="22"/>
          <w:highlight w:val="none"/>
        </w:rPr>
        <w:t>SRS/CSI/CSI-RS triggering for UE transitioning from IDLE/INACTIVE</w:t>
      </w:r>
      <w:r>
        <w:rPr>
          <w:rFonts w:hint="eastAsia"/>
          <w:szCs w:val="22"/>
          <w:highlight w:val="none"/>
          <w:lang w:val="en-US" w:eastAsia="zh-CN"/>
        </w:rPr>
        <w:t xml:space="preserve"> to </w:t>
      </w:r>
      <w:r>
        <w:rPr>
          <w:szCs w:val="22"/>
          <w:highlight w:val="none"/>
        </w:rPr>
        <w:t xml:space="preserve"> CONNECTED</w:t>
      </w:r>
      <w:r>
        <w:rPr>
          <w:rFonts w:hint="eastAsia"/>
          <w:szCs w:val="22"/>
          <w:highlight w:val="none"/>
          <w:lang w:val="en-US" w:eastAsia="zh-CN"/>
        </w:rPr>
        <w:t xml:space="preserve">, </w:t>
      </w:r>
      <w:r>
        <w:rPr>
          <w:szCs w:val="22"/>
          <w:highlight w:val="none"/>
        </w:rPr>
        <w:t>as well as for SCell activation and switching out of SCell dormancy in CONNECTED mode via the legacy signaling mechanisms</w:t>
      </w:r>
      <w:r>
        <w:rPr>
          <w:rFonts w:hint="eastAsia"/>
          <w:szCs w:val="22"/>
          <w:highlight w:val="none"/>
          <w:lang w:val="en-US" w:eastAsia="zh-CN"/>
        </w:rPr>
        <w:t xml:space="preserve">. And frequency domain density sparsity design for CSI-RS with larger antenna ports. </w:t>
      </w:r>
    </w:p>
    <w:p w14:paraId="56DF4340">
      <w:pPr>
        <w:pStyle w:val="3"/>
        <w:rPr>
          <w:rFonts w:hint="default"/>
          <w:highlight w:val="none"/>
          <w:lang w:val="en-US" w:eastAsia="zh-CN"/>
        </w:rPr>
      </w:pPr>
      <w:r>
        <w:rPr>
          <w:szCs w:val="22"/>
          <w:highlight w:val="none"/>
        </w:rPr>
        <w:t>Early SRS/CSI/CSI-RS triggering</w:t>
      </w:r>
      <w:r>
        <w:rPr>
          <w:rFonts w:hint="eastAsia"/>
          <w:szCs w:val="22"/>
          <w:highlight w:val="none"/>
          <w:lang w:val="en-US" w:eastAsia="zh-CN"/>
        </w:rPr>
        <w:t xml:space="preserve"> for UE state </w:t>
      </w:r>
      <w:r>
        <w:rPr>
          <w:szCs w:val="22"/>
          <w:highlight w:val="none"/>
        </w:rPr>
        <w:t>transition</w:t>
      </w:r>
      <w:r>
        <w:rPr>
          <w:rFonts w:hint="eastAsia"/>
          <w:szCs w:val="22"/>
          <w:highlight w:val="none"/>
          <w:lang w:val="en-US" w:eastAsia="zh-CN"/>
        </w:rPr>
        <w:t>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326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BD929C2">
            <w:pPr>
              <w:keepNext w:val="0"/>
              <w:keepLines w:val="0"/>
              <w:widowControl w:val="0"/>
              <w:suppressLineNumbers w:val="0"/>
              <w:snapToGrid w:val="0"/>
              <w:spacing w:before="120" w:beforeLines="50" w:beforeAutospacing="0" w:afterAutospacing="0"/>
              <w:ind w:left="0" w:right="0"/>
              <w:jc w:val="both"/>
              <w:rPr>
                <w:rFonts w:hint="eastAsia" w:ascii="Times New Roman" w:hAnsi="Times New Roman" w:eastAsia="宋体"/>
                <w:b/>
                <w:szCs w:val="20"/>
                <w:highlight w:val="none"/>
              </w:rPr>
            </w:pPr>
            <w:r>
              <w:rPr>
                <w:rFonts w:hint="eastAsia" w:ascii="Times New Roman" w:hAnsi="Times New Roman" w:eastAsia="宋体"/>
                <w:b/>
                <w:color w:val="auto"/>
                <w:szCs w:val="20"/>
                <w:highlight w:val="green"/>
              </w:rPr>
              <w:t>Agreement:</w:t>
            </w:r>
            <w:r>
              <w:rPr>
                <w:rFonts w:hint="eastAsia" w:ascii="Times New Roman" w:hAnsi="Times New Roman" w:eastAsia="宋体"/>
                <w:b/>
                <w:szCs w:val="20"/>
                <w:highlight w:val="none"/>
              </w:rPr>
              <w:t xml:space="preserve"> </w:t>
            </w:r>
          </w:p>
          <w:p w14:paraId="74BB9233">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Cs/>
                <w:szCs w:val="20"/>
                <w:highlight w:val="none"/>
              </w:rPr>
            </w:pPr>
            <w:r>
              <w:rPr>
                <w:rFonts w:hint="eastAsia" w:ascii="Times New Roman" w:hAnsi="Times New Roman" w:eastAsia="宋体"/>
                <w:bCs/>
                <w:szCs w:val="20"/>
                <w:highlight w:val="none"/>
              </w:rPr>
              <w:t xml:space="preserve">For UE transition from IDLE/INACTIVE to CONNECTED mode, support at least aperiodic SRS-AS transmission triggered via MSG4 of 4-Step RACH. </w:t>
            </w:r>
          </w:p>
          <w:p w14:paraId="554DB3B0">
            <w:pPr>
              <w:keepNext w:val="0"/>
              <w:keepLines w:val="0"/>
              <w:widowControl w:val="0"/>
              <w:suppressLineNumbers w:val="0"/>
              <w:spacing w:before="0" w:beforeAutospacing="0" w:afterAutospacing="0"/>
              <w:ind w:left="0" w:right="0"/>
              <w:jc w:val="both"/>
              <w:rPr>
                <w:rFonts w:hint="eastAsia" w:ascii="Times New Roman" w:hAnsi="Times New Roman"/>
                <w:szCs w:val="20"/>
                <w:highlight w:val="none"/>
              </w:rPr>
            </w:pPr>
          </w:p>
          <w:p w14:paraId="6DB3DEF9">
            <w:pPr>
              <w:keepNext w:val="0"/>
              <w:keepLines w:val="0"/>
              <w:widowControl w:val="0"/>
              <w:suppressLineNumbers w:val="0"/>
              <w:snapToGrid w:val="0"/>
              <w:spacing w:before="120" w:beforeLines="50" w:beforeAutospacing="0" w:afterAutospacing="0"/>
              <w:ind w:left="0" w:right="0"/>
              <w:jc w:val="both"/>
              <w:rPr>
                <w:rFonts w:hint="eastAsia" w:ascii="Times New Roman" w:hAnsi="Times New Roman" w:eastAsia="宋体"/>
                <w:b/>
                <w:color w:val="auto"/>
                <w:szCs w:val="20"/>
                <w:highlight w:val="green"/>
              </w:rPr>
            </w:pPr>
            <w:r>
              <w:rPr>
                <w:rFonts w:hint="eastAsia" w:ascii="Times New Roman" w:hAnsi="Times New Roman" w:eastAsia="宋体"/>
                <w:b/>
                <w:color w:val="auto"/>
                <w:szCs w:val="20"/>
                <w:highlight w:val="green"/>
              </w:rPr>
              <w:t xml:space="preserve">Agreement: </w:t>
            </w:r>
          </w:p>
          <w:p w14:paraId="6440653C">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Cs/>
                <w:szCs w:val="20"/>
                <w:highlight w:val="none"/>
              </w:rPr>
            </w:pPr>
            <w:r>
              <w:rPr>
                <w:rFonts w:hint="eastAsia" w:ascii="Times New Roman" w:hAnsi="Times New Roman" w:eastAsia="宋体"/>
                <w:bCs/>
                <w:szCs w:val="20"/>
                <w:highlight w:val="none"/>
              </w:rPr>
              <w:t xml:space="preserve">For UE transition from IDLE/INACTIVE to CONNECTED mode, support aperiodic CSI reporting  triggered via MSG4 of 4-Step RACH based on the followings: </w:t>
            </w:r>
          </w:p>
          <w:p w14:paraId="0C8E7788">
            <w:pPr>
              <w:keepNext w:val="0"/>
              <w:keepLines w:val="0"/>
              <w:widowControl w:val="0"/>
              <w:numPr>
                <w:ilvl w:val="0"/>
                <w:numId w:val="7"/>
              </w:numPr>
              <w:suppressLineNumbers w:val="0"/>
              <w:snapToGrid w:val="0"/>
              <w:spacing w:before="0" w:beforeAutospacing="0" w:afterAutospacing="0"/>
              <w:ind w:right="0"/>
              <w:jc w:val="both"/>
              <w:rPr>
                <w:rFonts w:hint="eastAsia" w:ascii="Times New Roman" w:hAnsi="Times New Roman"/>
                <w:bCs/>
                <w:color w:val="auto"/>
                <w:szCs w:val="20"/>
                <w:highlight w:val="none"/>
              </w:rPr>
            </w:pPr>
            <w:r>
              <w:rPr>
                <w:rFonts w:hint="eastAsia" w:ascii="Times New Roman" w:hAnsi="Times New Roman"/>
                <w:bCs/>
                <w:szCs w:val="20"/>
                <w:highlight w:val="none"/>
              </w:rPr>
              <w:t>The a</w:t>
            </w:r>
            <w:r>
              <w:rPr>
                <w:rFonts w:hint="eastAsia" w:ascii="Times New Roman" w:hAnsi="Times New Roman"/>
                <w:bCs/>
                <w:color w:val="auto"/>
                <w:szCs w:val="20"/>
                <w:highlight w:val="none"/>
              </w:rPr>
              <w:t>periodic CSI reporting is transmitted on PUSCH.</w:t>
            </w:r>
          </w:p>
          <w:p w14:paraId="499E70CA">
            <w:pPr>
              <w:pStyle w:val="45"/>
              <w:keepNext w:val="0"/>
              <w:keepLines w:val="0"/>
              <w:widowControl w:val="0"/>
              <w:numPr>
                <w:ilvl w:val="0"/>
                <w:numId w:val="8"/>
              </w:numPr>
              <w:suppressLineNumbers w:val="0"/>
              <w:spacing w:before="0" w:beforeAutospacing="0" w:afterAutospacing="0"/>
              <w:ind w:leftChars="0" w:right="0" w:hanging="158"/>
              <w:contextualSpacing/>
              <w:jc w:val="both"/>
              <w:rPr>
                <w:rFonts w:hint="eastAsia" w:ascii="Times New Roman" w:hAnsi="Times New Roman"/>
                <w:color w:val="auto"/>
                <w:szCs w:val="20"/>
                <w:highlight w:val="none"/>
              </w:rPr>
            </w:pPr>
            <w:r>
              <w:rPr>
                <w:rFonts w:hint="eastAsia" w:ascii="Times New Roman" w:hAnsi="Times New Roman"/>
                <w:color w:val="auto"/>
                <w:szCs w:val="20"/>
                <w:highlight w:val="none"/>
              </w:rPr>
              <w:t xml:space="preserve">Support </w:t>
            </w:r>
            <w:r>
              <w:rPr>
                <w:rFonts w:hint="eastAsia" w:ascii="Times New Roman" w:hAnsi="Times New Roman"/>
                <w:bCs/>
                <w:color w:val="auto"/>
                <w:szCs w:val="20"/>
                <w:highlight w:val="none"/>
              </w:rPr>
              <w:t>at least aperiodic CSI-RS for CSI associated with the aperiodic CSI reporting</w:t>
            </w:r>
          </w:p>
          <w:p w14:paraId="10AC8CD8">
            <w:pPr>
              <w:pStyle w:val="45"/>
              <w:keepNext w:val="0"/>
              <w:keepLines w:val="0"/>
              <w:widowControl w:val="0"/>
              <w:numPr>
                <w:ilvl w:val="0"/>
                <w:numId w:val="8"/>
              </w:numPr>
              <w:suppressLineNumbers w:val="0"/>
              <w:spacing w:before="0" w:beforeAutospacing="0" w:afterAutospacing="0"/>
              <w:ind w:leftChars="0" w:right="0" w:hanging="158"/>
              <w:contextualSpacing/>
              <w:jc w:val="both"/>
              <w:rPr>
                <w:rFonts w:hint="eastAsia" w:ascii="Times New Roman" w:hAnsi="Times New Roman"/>
                <w:color w:val="auto"/>
                <w:szCs w:val="20"/>
                <w:highlight w:val="none"/>
              </w:rPr>
            </w:pPr>
            <w:r>
              <w:rPr>
                <w:rFonts w:hint="eastAsia" w:ascii="Times New Roman" w:hAnsi="Times New Roman"/>
                <w:color w:val="auto"/>
                <w:szCs w:val="20"/>
                <w:highlight w:val="none"/>
              </w:rPr>
              <w:t>Support PMI-based reporting with wideband PMI based on Rel-15 Type-I SP codebook and wideband CQI</w:t>
            </w:r>
          </w:p>
          <w:p w14:paraId="3457A2E0">
            <w:pPr>
              <w:keepNext w:val="0"/>
              <w:keepLines w:val="0"/>
              <w:widowControl w:val="0"/>
              <w:numPr>
                <w:ilvl w:val="1"/>
                <w:numId w:val="9"/>
              </w:numPr>
              <w:suppressLineNumbers w:val="0"/>
              <w:spacing w:before="0" w:beforeAutospacing="0" w:afterAutospacing="0"/>
              <w:ind w:left="1030" w:right="0" w:hanging="141"/>
              <w:contextualSpacing/>
              <w:jc w:val="both"/>
              <w:rPr>
                <w:rFonts w:hint="eastAsia" w:ascii="Times New Roman" w:hAnsi="Times New Roman"/>
                <w:color w:val="auto"/>
                <w:szCs w:val="20"/>
                <w:highlight w:val="none"/>
              </w:rPr>
            </w:pPr>
            <w:r>
              <w:rPr>
                <w:rFonts w:hint="eastAsia" w:ascii="Times New Roman" w:hAnsi="Times New Roman"/>
                <w:color w:val="auto"/>
                <w:szCs w:val="20"/>
                <w:highlight w:val="none"/>
              </w:rPr>
              <w:t>FFS: Which report quantity(s) can be configured</w:t>
            </w:r>
          </w:p>
          <w:p w14:paraId="21DE5A2E">
            <w:pPr>
              <w:pStyle w:val="45"/>
              <w:keepNext w:val="0"/>
              <w:keepLines w:val="0"/>
              <w:widowControl w:val="0"/>
              <w:numPr>
                <w:ilvl w:val="0"/>
                <w:numId w:val="8"/>
              </w:numPr>
              <w:suppressLineNumbers w:val="0"/>
              <w:spacing w:before="0" w:beforeAutospacing="0" w:afterAutospacing="0"/>
              <w:ind w:leftChars="0" w:right="0" w:hanging="158"/>
              <w:contextualSpacing/>
              <w:jc w:val="both"/>
              <w:rPr>
                <w:rFonts w:hint="eastAsia" w:ascii="Times New Roman" w:hAnsi="Times New Roman"/>
                <w:color w:val="auto"/>
                <w:szCs w:val="20"/>
                <w:highlight w:val="none"/>
              </w:rPr>
            </w:pPr>
            <w:r>
              <w:rPr>
                <w:rFonts w:hint="eastAsia" w:ascii="Times New Roman" w:hAnsi="Times New Roman"/>
                <w:color w:val="auto"/>
                <w:szCs w:val="20"/>
                <w:highlight w:val="none"/>
              </w:rPr>
              <w:t>Support PMI-free reporti</w:t>
            </w:r>
            <w:r>
              <w:rPr>
                <w:rFonts w:hint="eastAsia" w:ascii="Times New Roman" w:hAnsi="Times New Roman" w:eastAsia="PMingLiU"/>
                <w:color w:val="auto"/>
                <w:szCs w:val="20"/>
                <w:highlight w:val="none"/>
                <w:lang w:eastAsia="zh-TW"/>
              </w:rPr>
              <w:t>ng</w:t>
            </w:r>
            <w:r>
              <w:rPr>
                <w:rFonts w:hint="eastAsia" w:ascii="Times New Roman" w:hAnsi="Times New Roman"/>
                <w:color w:val="auto"/>
                <w:szCs w:val="20"/>
                <w:highlight w:val="none"/>
              </w:rPr>
              <w:t xml:space="preserve"> with wideband CQI </w:t>
            </w:r>
          </w:p>
          <w:p w14:paraId="70723FD2">
            <w:pPr>
              <w:keepNext w:val="0"/>
              <w:keepLines w:val="0"/>
              <w:widowControl w:val="0"/>
              <w:numPr>
                <w:ilvl w:val="1"/>
                <w:numId w:val="9"/>
              </w:numPr>
              <w:suppressLineNumbers w:val="0"/>
              <w:spacing w:before="0" w:beforeAutospacing="0" w:afterAutospacing="0"/>
              <w:ind w:left="1030" w:right="0" w:hanging="141"/>
              <w:contextualSpacing/>
              <w:jc w:val="both"/>
              <w:rPr>
                <w:rFonts w:hint="eastAsia" w:ascii="Times New Roman" w:hAnsi="Times New Roman"/>
                <w:color w:val="auto"/>
                <w:szCs w:val="20"/>
                <w:highlight w:val="none"/>
              </w:rPr>
            </w:pPr>
            <w:r>
              <w:rPr>
                <w:rFonts w:hint="eastAsia" w:ascii="Times New Roman" w:hAnsi="Times New Roman"/>
                <w:color w:val="auto"/>
                <w:szCs w:val="20"/>
                <w:highlight w:val="none"/>
              </w:rPr>
              <w:t>FFS: Which report quantity can be configured</w:t>
            </w:r>
          </w:p>
          <w:p w14:paraId="39D41EAF">
            <w:pPr>
              <w:keepNext w:val="0"/>
              <w:keepLines w:val="0"/>
              <w:widowControl w:val="0"/>
              <w:suppressLineNumbers w:val="0"/>
              <w:spacing w:before="0" w:beforeAutospacing="0" w:after="0" w:afterAutospacing="0"/>
              <w:ind w:left="0" w:right="0"/>
              <w:rPr>
                <w:rFonts w:hint="eastAsia"/>
                <w:highlight w:val="none"/>
                <w:lang w:eastAsia="zh-CN"/>
              </w:rPr>
            </w:pPr>
          </w:p>
        </w:tc>
      </w:tr>
    </w:tbl>
    <w:p w14:paraId="1519641E">
      <w:pPr>
        <w:rPr>
          <w:rFonts w:hint="eastAsia"/>
          <w:szCs w:val="22"/>
          <w:highlight w:val="none"/>
          <w:lang w:val="en-US" w:eastAsia="zh-CN"/>
        </w:rPr>
      </w:pPr>
    </w:p>
    <w:p w14:paraId="0B5D8CF4">
      <w:pPr>
        <w:rPr>
          <w:rFonts w:hint="eastAsia"/>
          <w:color w:val="auto"/>
          <w:szCs w:val="22"/>
          <w:highlight w:val="none"/>
          <w:lang w:val="en-US" w:eastAsia="zh-CN"/>
        </w:rPr>
      </w:pPr>
      <w:r>
        <w:rPr>
          <w:rFonts w:hint="eastAsia"/>
          <w:color w:val="auto"/>
          <w:szCs w:val="22"/>
          <w:highlight w:val="none"/>
          <w:lang w:val="en-US" w:eastAsia="zh-CN"/>
        </w:rPr>
        <w:t>In the last meeting, it was agreed to support PMI-based reporting with wideband PMI based on the Rel-15 Type-I SP codebook and wideband CQI. The remaining question is which report quantity(ies) can be configured. In our view, for early CSI triggering, the report quantity should be as simple as possible. Therefore, we believe that supporting the report quantity 'cri-RI-PMI-CQI' is sufficient, and we do not see the necessity for other report quantities.</w:t>
      </w:r>
    </w:p>
    <w:p w14:paraId="07EABA5A">
      <w:pPr>
        <w:pStyle w:val="34"/>
        <w:numPr>
          <w:ilvl w:val="0"/>
          <w:numId w:val="10"/>
        </w:numPr>
        <w:tabs>
          <w:tab w:val="left" w:pos="1701"/>
        </w:tabs>
        <w:spacing w:before="240" w:after="240" w:line="240" w:lineRule="auto"/>
        <w:ind w:left="1134" w:hanging="1134"/>
        <w:rPr>
          <w:rFonts w:hint="default"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i/>
          <w:iCs/>
          <w:sz w:val="22"/>
          <w:szCs w:val="22"/>
          <w:highlight w:val="none"/>
          <w:lang w:val="en-US" w:eastAsia="zh-CN"/>
        </w:rPr>
        <w:t>For PMI based CSI reporting, support the report quantity 'cri-RI-PMI-CQI'.</w:t>
      </w:r>
    </w:p>
    <w:p w14:paraId="45E4C75F">
      <w:pPr>
        <w:pStyle w:val="34"/>
        <w:numPr>
          <w:ilvl w:val="0"/>
          <w:numId w:val="0"/>
        </w:numPr>
        <w:tabs>
          <w:tab w:val="left" w:pos="1701"/>
        </w:tabs>
        <w:spacing w:before="240" w:after="240" w:line="240" w:lineRule="auto"/>
        <w:ind w:leftChars="0"/>
        <w:rPr>
          <w:rFonts w:hint="default"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Moreover, for PMI-free reporting with wideband CQI, we believe that supporting the report quantity 'cri-RI-CQI' is sufficient, and considering additional report quantities is unnecessary.</w:t>
      </w:r>
    </w:p>
    <w:p w14:paraId="255A5F36">
      <w:pPr>
        <w:pStyle w:val="34"/>
        <w:numPr>
          <w:ilvl w:val="0"/>
          <w:numId w:val="10"/>
        </w:numPr>
        <w:tabs>
          <w:tab w:val="left" w:pos="1701"/>
        </w:tabs>
        <w:spacing w:before="240" w:after="240" w:line="240" w:lineRule="auto"/>
        <w:ind w:left="1134" w:hanging="1134"/>
        <w:rPr>
          <w:rFonts w:hint="default"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i/>
          <w:iCs/>
          <w:sz w:val="22"/>
          <w:szCs w:val="22"/>
          <w:highlight w:val="none"/>
          <w:lang w:val="en-US" w:eastAsia="zh-CN"/>
        </w:rPr>
        <w:t>For PMI-free CSI reporting, support the report quantity 'cri-RI-CQI'.</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6BD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C16D05F">
            <w:pPr>
              <w:keepNext w:val="0"/>
              <w:keepLines w:val="0"/>
              <w:widowControl w:val="0"/>
              <w:suppressLineNumbers w:val="0"/>
              <w:snapToGrid w:val="0"/>
              <w:spacing w:before="120" w:beforeLines="50" w:beforeAutospacing="0" w:afterAutospacing="0"/>
              <w:ind w:left="0" w:right="0"/>
              <w:jc w:val="both"/>
              <w:rPr>
                <w:rFonts w:hint="eastAsia" w:ascii="Times New Roman" w:hAnsi="Times New Roman" w:eastAsia="宋体"/>
                <w:b/>
                <w:szCs w:val="20"/>
                <w:highlight w:val="none"/>
              </w:rPr>
            </w:pPr>
            <w:r>
              <w:rPr>
                <w:rFonts w:hint="eastAsia" w:ascii="Times New Roman" w:hAnsi="Times New Roman" w:eastAsia="宋体"/>
                <w:b/>
                <w:color w:val="auto"/>
                <w:szCs w:val="20"/>
                <w:highlight w:val="green"/>
              </w:rPr>
              <w:t>Agreement:</w:t>
            </w:r>
            <w:r>
              <w:rPr>
                <w:rFonts w:hint="eastAsia" w:ascii="Times New Roman" w:hAnsi="Times New Roman" w:eastAsia="宋体"/>
                <w:b/>
                <w:szCs w:val="20"/>
                <w:highlight w:val="none"/>
              </w:rPr>
              <w:t xml:space="preserve"> </w:t>
            </w:r>
          </w:p>
          <w:p w14:paraId="7012B7E4">
            <w:pPr>
              <w:keepNext w:val="0"/>
              <w:keepLines w:val="0"/>
              <w:widowControl w:val="0"/>
              <w:suppressLineNumbers w:val="0"/>
              <w:snapToGrid w:val="0"/>
              <w:spacing w:before="0" w:beforeAutospacing="0" w:afterAutospacing="0"/>
              <w:ind w:left="0" w:right="0"/>
              <w:rPr>
                <w:rFonts w:hint="eastAsia" w:ascii="Times New Roman" w:hAnsi="Times New Roman"/>
                <w:szCs w:val="20"/>
                <w:highlight w:val="none"/>
              </w:rPr>
            </w:pPr>
            <w:r>
              <w:rPr>
                <w:rFonts w:hint="eastAsia" w:ascii="Times New Roman" w:hAnsi="Times New Roman" w:eastAsia="宋体"/>
                <w:bCs/>
                <w:szCs w:val="20"/>
                <w:highlight w:val="none"/>
              </w:rPr>
              <w:t xml:space="preserve">For a UE transition from IDLE to CONNECTED mode, </w:t>
            </w:r>
            <w:r>
              <w:rPr>
                <w:rFonts w:hint="eastAsia" w:ascii="Times New Roman" w:hAnsi="Times New Roman"/>
                <w:bCs/>
                <w:szCs w:val="20"/>
                <w:highlight w:val="none"/>
              </w:rPr>
              <w:t>support</w:t>
            </w:r>
            <w:r>
              <w:rPr>
                <w:rFonts w:hint="eastAsia" w:ascii="Times New Roman" w:hAnsi="Times New Roman"/>
                <w:szCs w:val="20"/>
                <w:highlight w:val="none"/>
              </w:rPr>
              <w:t xml:space="preserve"> the following procedure at least for early aperiodic SRS-AS/CSI-RS/CSI triggering (i.e., early triggering of aperiodic SRS-AS transmission, aperiodic CSI-RS reception, aperiodic CSI reporting):</w:t>
            </w:r>
          </w:p>
          <w:p w14:paraId="615A6063">
            <w:pPr>
              <w:pStyle w:val="45"/>
              <w:keepNext w:val="0"/>
              <w:keepLines w:val="0"/>
              <w:widowControl w:val="0"/>
              <w:numPr>
                <w:ilvl w:val="0"/>
                <w:numId w:val="11"/>
              </w:numPr>
              <w:suppressLineNumbers w:val="0"/>
              <w:spacing w:before="0" w:beforeAutospacing="0" w:afterAutospacing="0"/>
              <w:ind w:leftChars="0" w:right="0" w:hanging="158"/>
              <w:contextualSpacing/>
              <w:jc w:val="both"/>
              <w:rPr>
                <w:rFonts w:hint="eastAsia" w:ascii="Times New Roman" w:hAnsi="Times New Roman"/>
                <w:szCs w:val="20"/>
                <w:highlight w:val="none"/>
              </w:rPr>
            </w:pPr>
            <w:r>
              <w:rPr>
                <w:rFonts w:hint="eastAsia" w:ascii="Times New Roman" w:hAnsi="Times New Roman"/>
                <w:szCs w:val="20"/>
                <w:highlight w:val="none"/>
              </w:rPr>
              <w:t>Step-1: The UE receives the resource/reporting configuration(s) for early SRS-AS/CSI-RS/CSI triggering provided in the system i</w:t>
            </w:r>
            <w:r>
              <w:rPr>
                <w:rFonts w:hint="eastAsia" w:ascii="Times New Roman" w:hAnsi="Times New Roman" w:eastAsia="PMingLiU"/>
                <w:szCs w:val="20"/>
                <w:highlight w:val="none"/>
                <w:lang w:eastAsia="zh-TW"/>
              </w:rPr>
              <w:t xml:space="preserve">nformation </w:t>
            </w:r>
            <w:r>
              <w:rPr>
                <w:rFonts w:hint="eastAsia" w:ascii="Times New Roman" w:hAnsi="Times New Roman"/>
                <w:szCs w:val="20"/>
                <w:highlight w:val="none"/>
              </w:rPr>
              <w:t>before MSG3.</w:t>
            </w:r>
          </w:p>
          <w:p w14:paraId="3BCE7511">
            <w:pPr>
              <w:keepNext w:val="0"/>
              <w:keepLines w:val="0"/>
              <w:widowControl w:val="0"/>
              <w:numPr>
                <w:ilvl w:val="1"/>
                <w:numId w:val="9"/>
              </w:numPr>
              <w:suppressLineNumbers w:val="0"/>
              <w:spacing w:before="0" w:beforeAutospacing="0" w:afterAutospacing="0"/>
              <w:ind w:left="1030" w:right="0" w:hanging="141"/>
              <w:contextualSpacing/>
              <w:jc w:val="both"/>
              <w:rPr>
                <w:rFonts w:hint="eastAsia" w:ascii="Times New Roman" w:hAnsi="Times New Roman"/>
                <w:szCs w:val="20"/>
                <w:highlight w:val="none"/>
              </w:rPr>
            </w:pPr>
            <w:r>
              <w:rPr>
                <w:rFonts w:hint="eastAsia" w:ascii="Times New Roman" w:hAnsi="Times New Roman"/>
                <w:szCs w:val="20"/>
                <w:highlight w:val="none"/>
              </w:rPr>
              <w:t>FFS: Which SIB is used to carry the resource/reporting configuration(s) for early SRS-AS/CSI/CSI-RS triggering</w:t>
            </w:r>
          </w:p>
          <w:p w14:paraId="7072E1DF">
            <w:pPr>
              <w:pStyle w:val="45"/>
              <w:keepNext w:val="0"/>
              <w:keepLines w:val="0"/>
              <w:widowControl w:val="0"/>
              <w:numPr>
                <w:ilvl w:val="0"/>
                <w:numId w:val="11"/>
              </w:numPr>
              <w:suppressLineNumbers w:val="0"/>
              <w:spacing w:before="0" w:beforeAutospacing="0" w:afterAutospacing="0"/>
              <w:ind w:leftChars="0" w:right="0" w:hanging="158"/>
              <w:contextualSpacing/>
              <w:rPr>
                <w:rFonts w:hint="eastAsia" w:ascii="Times New Roman" w:hAnsi="Times New Roman"/>
                <w:szCs w:val="20"/>
                <w:highlight w:val="none"/>
              </w:rPr>
            </w:pPr>
            <w:r>
              <w:rPr>
                <w:rFonts w:hint="eastAsia" w:ascii="Times New Roman" w:hAnsi="Times New Roman"/>
                <w:szCs w:val="20"/>
                <w:highlight w:val="none"/>
              </w:rPr>
              <w:t>Step-2: The UE reports</w:t>
            </w:r>
            <w:r>
              <w:rPr>
                <w:rFonts w:hint="eastAsia" w:ascii="Times New Roman" w:hAnsi="Times New Roman" w:eastAsia="PMingLiU"/>
                <w:szCs w:val="20"/>
                <w:highlight w:val="none"/>
                <w:lang w:eastAsia="zh-TW"/>
              </w:rPr>
              <w:t xml:space="preserve"> its capability on early SRS/CSI-RS/CSI triggering</w:t>
            </w:r>
            <w:r>
              <w:rPr>
                <w:rFonts w:hint="eastAsia" w:ascii="Times New Roman" w:hAnsi="Times New Roman"/>
                <w:szCs w:val="20"/>
                <w:highlight w:val="none"/>
              </w:rPr>
              <w:t xml:space="preserve"> through MSG3 </w:t>
            </w:r>
          </w:p>
          <w:p w14:paraId="74CCE4D0">
            <w:pPr>
              <w:pStyle w:val="45"/>
              <w:keepNext w:val="0"/>
              <w:keepLines w:val="0"/>
              <w:widowControl w:val="0"/>
              <w:numPr>
                <w:ilvl w:val="0"/>
                <w:numId w:val="11"/>
              </w:numPr>
              <w:suppressLineNumbers w:val="0"/>
              <w:spacing w:before="0" w:beforeAutospacing="0" w:afterAutospacing="0"/>
              <w:ind w:leftChars="0" w:right="0" w:hanging="158"/>
              <w:contextualSpacing/>
              <w:rPr>
                <w:rFonts w:hint="eastAsia" w:ascii="Times New Roman" w:hAnsi="Times New Roman"/>
                <w:szCs w:val="20"/>
                <w:highlight w:val="none"/>
              </w:rPr>
            </w:pPr>
            <w:r>
              <w:rPr>
                <w:rFonts w:hint="eastAsia" w:ascii="Times New Roman" w:hAnsi="Times New Roman"/>
                <w:szCs w:val="20"/>
                <w:highlight w:val="none"/>
              </w:rPr>
              <w:t>Step-3: The UE receives MSG4 that triggers early SRS-AS/CSI-RS/CSI based on  the capability reported by the UE.</w:t>
            </w:r>
          </w:p>
          <w:p w14:paraId="70381CA9">
            <w:pPr>
              <w:pStyle w:val="45"/>
              <w:keepNext w:val="0"/>
              <w:keepLines w:val="0"/>
              <w:widowControl w:val="0"/>
              <w:numPr>
                <w:ilvl w:val="0"/>
                <w:numId w:val="11"/>
              </w:numPr>
              <w:suppressLineNumbers w:val="0"/>
              <w:spacing w:before="0" w:beforeAutospacing="0" w:afterAutospacing="0"/>
              <w:ind w:leftChars="0" w:right="0" w:hanging="158"/>
              <w:contextualSpacing/>
              <w:jc w:val="both"/>
              <w:rPr>
                <w:rFonts w:hint="eastAsia" w:ascii="Times New Roman" w:hAnsi="Times New Roman"/>
                <w:b/>
                <w:bCs/>
                <w:szCs w:val="20"/>
                <w:highlight w:val="none"/>
              </w:rPr>
            </w:pPr>
            <w:r>
              <w:rPr>
                <w:rFonts w:hint="eastAsia" w:ascii="Times New Roman" w:hAnsi="Times New Roman"/>
                <w:szCs w:val="20"/>
                <w:highlight w:val="none"/>
              </w:rPr>
              <w:t>Step-4: The UE performs aperiodic SRS-AS transmission, aperiodic CSI-RS reception, and/or aperiodic CSI reporting.</w:t>
            </w:r>
          </w:p>
          <w:p w14:paraId="794BE15C">
            <w:pPr>
              <w:keepNext w:val="0"/>
              <w:keepLines w:val="0"/>
              <w:widowControl w:val="0"/>
              <w:numPr>
                <w:ilvl w:val="1"/>
                <w:numId w:val="9"/>
              </w:numPr>
              <w:suppressLineNumbers w:val="0"/>
              <w:spacing w:before="0" w:beforeAutospacing="0" w:afterAutospacing="0"/>
              <w:ind w:left="1030" w:right="0" w:hanging="141"/>
              <w:contextualSpacing/>
              <w:jc w:val="both"/>
              <w:rPr>
                <w:rFonts w:hint="eastAsia" w:ascii="Times New Roman" w:hAnsi="Times New Roman"/>
                <w:szCs w:val="20"/>
                <w:highlight w:val="none"/>
              </w:rPr>
            </w:pPr>
            <w:r>
              <w:rPr>
                <w:rFonts w:hint="eastAsia" w:ascii="Times New Roman" w:hAnsi="Times New Roman"/>
                <w:szCs w:val="20"/>
                <w:highlight w:val="none"/>
              </w:rPr>
              <w:t>FFS: Timeline of the aperiodic SRS-AS transmission, aperiodic CSI-RS reception, aperiodic CSI reporting</w:t>
            </w:r>
          </w:p>
          <w:p w14:paraId="0102A511">
            <w:pPr>
              <w:pStyle w:val="45"/>
              <w:keepNext w:val="0"/>
              <w:keepLines w:val="0"/>
              <w:widowControl w:val="0"/>
              <w:suppressLineNumbers w:val="0"/>
              <w:spacing w:before="0" w:beforeAutospacing="0" w:afterAutospacing="0"/>
              <w:ind w:left="0" w:leftChars="0" w:right="0"/>
              <w:contextualSpacing/>
              <w:rPr>
                <w:rFonts w:hint="eastAsia" w:ascii="Times New Roman" w:hAnsi="Times New Roman"/>
                <w:szCs w:val="20"/>
                <w:highlight w:val="none"/>
              </w:rPr>
            </w:pPr>
            <w:r>
              <w:rPr>
                <w:rFonts w:hint="eastAsia" w:ascii="Times New Roman" w:hAnsi="Times New Roman"/>
                <w:szCs w:val="20"/>
                <w:highlight w:val="none"/>
              </w:rPr>
              <w:t>Note: The term “capability” above does not mean legacy RRC based UE capability.</w:t>
            </w:r>
          </w:p>
          <w:p w14:paraId="6EE90C31">
            <w:pPr>
              <w:keepNext w:val="0"/>
              <w:keepLines w:val="0"/>
              <w:widowControl w:val="0"/>
              <w:suppressLineNumbers w:val="0"/>
              <w:tabs>
                <w:tab w:val="left" w:pos="0"/>
              </w:tabs>
              <w:spacing w:before="0" w:beforeAutospacing="0" w:afterAutospacing="0"/>
              <w:ind w:left="840" w:right="0"/>
              <w:contextualSpacing/>
              <w:jc w:val="both"/>
              <w:rPr>
                <w:rFonts w:hint="eastAsia" w:ascii="Times New Roman" w:hAnsi="Times New Roman"/>
                <w:szCs w:val="20"/>
                <w:highlight w:val="none"/>
              </w:rPr>
            </w:pPr>
          </w:p>
          <w:p w14:paraId="56A019B3">
            <w:pPr>
              <w:keepNext w:val="0"/>
              <w:keepLines w:val="0"/>
              <w:widowControl w:val="0"/>
              <w:suppressLineNumbers w:val="0"/>
              <w:tabs>
                <w:tab w:val="left" w:pos="0"/>
              </w:tabs>
              <w:spacing w:before="0" w:beforeAutospacing="0" w:afterAutospacing="0"/>
              <w:ind w:left="0" w:right="0"/>
              <w:contextualSpacing/>
              <w:jc w:val="both"/>
              <w:rPr>
                <w:rFonts w:hint="eastAsia" w:ascii="Times New Roman" w:hAnsi="Times New Roman"/>
                <w:szCs w:val="20"/>
                <w:highlight w:val="none"/>
              </w:rPr>
            </w:pPr>
            <w:r>
              <w:rPr>
                <w:rFonts w:hint="eastAsia" w:ascii="Times New Roman" w:hAnsi="Times New Roman"/>
                <w:szCs w:val="20"/>
                <w:highlight w:val="none"/>
              </w:rPr>
              <w:t>FFS: For a UE transition from INACTIVE to CONNECTED mode, whether above procedure can be reused at least for early aperiodic SRS-AS/CSI-RS/CSI triggering</w:t>
            </w:r>
          </w:p>
          <w:p w14:paraId="78332A3D">
            <w:pPr>
              <w:keepNext w:val="0"/>
              <w:keepLines w:val="0"/>
              <w:widowControl w:val="0"/>
              <w:suppressLineNumbers w:val="0"/>
              <w:tabs>
                <w:tab w:val="left" w:pos="0"/>
              </w:tabs>
              <w:spacing w:before="0" w:beforeAutospacing="0" w:afterAutospacing="0"/>
              <w:ind w:left="0" w:right="0"/>
              <w:contextualSpacing/>
              <w:jc w:val="both"/>
              <w:rPr>
                <w:rFonts w:hint="eastAsia" w:eastAsia="宋体"/>
                <w:highlight w:val="none"/>
                <w:lang w:val="en-US" w:eastAsia="zh-CN"/>
              </w:rPr>
            </w:pPr>
            <w:r>
              <w:rPr>
                <w:rFonts w:hint="eastAsia" w:ascii="Times New Roman" w:hAnsi="Times New Roman"/>
                <w:szCs w:val="20"/>
                <w:highlight w:val="none"/>
              </w:rPr>
              <w:t>Note: Whether the aperiodic SRS-AS transmission, aperiodic CSI-RS reception, and/or aperiodic CSI reporting can be configured/triggered simultaneously will be discussed separately</w:t>
            </w:r>
            <w:r>
              <w:rPr>
                <w:rFonts w:hint="eastAsia"/>
                <w:szCs w:val="20"/>
                <w:highlight w:val="none"/>
                <w:lang w:val="en-US" w:eastAsia="zh-CN"/>
              </w:rPr>
              <w:t>.</w:t>
            </w:r>
          </w:p>
          <w:p w14:paraId="123C2538">
            <w:pPr>
              <w:keepNext w:val="0"/>
              <w:keepLines w:val="0"/>
              <w:widowControl w:val="0"/>
              <w:suppressLineNumbers w:val="0"/>
              <w:spacing w:before="0" w:beforeAutospacing="0" w:after="0" w:afterAutospacing="0"/>
              <w:ind w:left="0" w:right="0"/>
              <w:rPr>
                <w:rFonts w:hint="eastAsia"/>
                <w:highlight w:val="none"/>
                <w:lang w:eastAsia="zh-CN"/>
              </w:rPr>
            </w:pPr>
          </w:p>
        </w:tc>
      </w:tr>
    </w:tbl>
    <w:p w14:paraId="26AC3491">
      <w:pPr>
        <w:pStyle w:val="34"/>
        <w:numPr>
          <w:ilvl w:val="0"/>
          <w:numId w:val="0"/>
        </w:numPr>
        <w:tabs>
          <w:tab w:val="left" w:pos="1701"/>
        </w:tabs>
        <w:spacing w:before="240" w:after="240" w:line="240" w:lineRule="auto"/>
        <w:ind w:leftChars="0"/>
        <w:rPr>
          <w:rFonts w:hint="eastAsia"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Based on the last meeting, the resource/reporting configuration(s) for early SRS-AS/CSI-RS/CSI triggering are provided in the system information before MSG3. For these resource/reporting configuration(s), we believe that the legacy CSI frame structure can also be reused, i.e., the IE ‘CSI-MeasConfig’. Under this IE, the necessary CSI measurement and/or reporting information for early CSI triggering can be configured. Moreover, for SRS-AS triggering, the IE ‘SRS-Config’ can also be reused, and the necessary SRS measurement information can be configured. Additionally, we believe that the resource/reporting configuration(s) should be simplified as much as possible to reduce the payload.</w:t>
      </w:r>
    </w:p>
    <w:p w14:paraId="32262A66">
      <w:pPr>
        <w:pStyle w:val="34"/>
        <w:numPr>
          <w:ilvl w:val="0"/>
          <w:numId w:val="10"/>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eastAsia="zh-CN"/>
        </w:rPr>
        <w:t xml:space="preserve">: </w:t>
      </w:r>
      <w:r>
        <w:rPr>
          <w:rFonts w:hint="eastAsia"/>
          <w:i/>
          <w:iCs/>
          <w:sz w:val="22"/>
          <w:szCs w:val="22"/>
          <w:highlight w:val="none"/>
          <w:lang w:val="en-US" w:eastAsia="zh-CN"/>
        </w:rPr>
        <w:t xml:space="preserve">For the resource/reporting configuration(s) of CSI-RS/CSI triggering, the legacy CSI framework can be reused, specifically the IE </w:t>
      </w:r>
      <w:r>
        <w:rPr>
          <w:rFonts w:hint="default"/>
          <w:i/>
          <w:iCs/>
          <w:sz w:val="22"/>
          <w:szCs w:val="22"/>
          <w:highlight w:val="none"/>
          <w:lang w:val="en-US" w:eastAsia="zh-CN"/>
        </w:rPr>
        <w:t>‘</w:t>
      </w:r>
      <w:r>
        <w:rPr>
          <w:rFonts w:hint="eastAsia"/>
          <w:i/>
          <w:iCs/>
          <w:sz w:val="22"/>
          <w:szCs w:val="22"/>
          <w:highlight w:val="none"/>
          <w:lang w:val="en-US" w:eastAsia="zh-CN"/>
        </w:rPr>
        <w:t>CSI-MeasConfig</w:t>
      </w:r>
      <w:r>
        <w:rPr>
          <w:rFonts w:hint="default"/>
          <w:i/>
          <w:iCs/>
          <w:sz w:val="22"/>
          <w:szCs w:val="22"/>
          <w:highlight w:val="none"/>
          <w:lang w:val="en-US" w:eastAsia="zh-CN"/>
        </w:rPr>
        <w:t>’</w:t>
      </w:r>
      <w:r>
        <w:rPr>
          <w:rFonts w:hint="eastAsia"/>
          <w:i/>
          <w:iCs/>
          <w:sz w:val="22"/>
          <w:szCs w:val="22"/>
          <w:highlight w:val="none"/>
          <w:lang w:val="en-US" w:eastAsia="zh-CN"/>
        </w:rPr>
        <w:t>.</w:t>
      </w:r>
    </w:p>
    <w:p w14:paraId="487F3A86">
      <w:pPr>
        <w:pStyle w:val="34"/>
        <w:numPr>
          <w:ilvl w:val="0"/>
          <w:numId w:val="10"/>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the resource configuration(s) of SRS-AS triggering, the legacy IE </w:t>
      </w:r>
      <w:r>
        <w:rPr>
          <w:rFonts w:hint="default"/>
          <w:i/>
          <w:iCs/>
          <w:sz w:val="22"/>
          <w:szCs w:val="22"/>
          <w:highlight w:val="none"/>
          <w:lang w:val="en-US" w:eastAsia="zh-CN"/>
        </w:rPr>
        <w:t>‘</w:t>
      </w:r>
      <w:r>
        <w:rPr>
          <w:rFonts w:hint="eastAsia"/>
          <w:i/>
          <w:iCs/>
          <w:sz w:val="22"/>
          <w:szCs w:val="22"/>
          <w:highlight w:val="none"/>
          <w:lang w:val="en-US" w:eastAsia="zh-CN"/>
        </w:rPr>
        <w:t>SRS-Config</w:t>
      </w:r>
      <w:r>
        <w:rPr>
          <w:rFonts w:hint="default"/>
          <w:i/>
          <w:iCs/>
          <w:sz w:val="22"/>
          <w:szCs w:val="22"/>
          <w:highlight w:val="none"/>
          <w:lang w:val="en-US" w:eastAsia="zh-CN"/>
        </w:rPr>
        <w:t>’</w:t>
      </w:r>
      <w:r>
        <w:rPr>
          <w:rFonts w:hint="eastAsia"/>
          <w:i/>
          <w:iCs/>
          <w:sz w:val="22"/>
          <w:szCs w:val="22"/>
          <w:highlight w:val="none"/>
          <w:lang w:val="en-US" w:eastAsia="zh-CN"/>
        </w:rPr>
        <w:t xml:space="preserve"> can be reused. </w:t>
      </w:r>
    </w:p>
    <w:p w14:paraId="377ADF4D">
      <w:pPr>
        <w:rPr>
          <w:rFonts w:hint="eastAsia"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However, regarding which system information will be used to carry the resource/reporting configuration(s), different companies expressed varying opinions in the last meeting. We prefer configuring the resource/reporting configuration(s) in SIB1, as we believe the resource or reporting configuration should be as</w:t>
      </w:r>
      <w:r>
        <w:rPr>
          <w:rFonts w:hint="eastAsia"/>
          <w:color w:val="auto"/>
          <w:szCs w:val="22"/>
          <w:highlight w:val="none"/>
          <w:lang w:val="en-US" w:eastAsia="zh-CN"/>
        </w:rPr>
        <w:t xml:space="preserve"> simple as possible. </w:t>
      </w:r>
      <w:r>
        <w:rPr>
          <w:rFonts w:hint="eastAsia" w:cs="Times New Roman"/>
          <w:b w:val="0"/>
          <w:bCs/>
          <w:sz w:val="22"/>
          <w:szCs w:val="20"/>
          <w:highlight w:val="none"/>
          <w:lang w:val="en-US" w:eastAsia="zh-CN" w:bidi="ar-SA"/>
        </w:rPr>
        <w:t>To differentiate it from the legacy SIB1, an indicator field can be added to SIB1. Alternatively, the use of new SIB information can also be considered.</w:t>
      </w:r>
    </w:p>
    <w:p w14:paraId="0EF38F12">
      <w:pPr>
        <w:pStyle w:val="34"/>
        <w:numPr>
          <w:ilvl w:val="0"/>
          <w:numId w:val="10"/>
        </w:numPr>
        <w:tabs>
          <w:tab w:val="left" w:pos="1701"/>
        </w:tabs>
        <w:spacing w:before="240" w:after="240" w:line="240" w:lineRule="auto"/>
        <w:ind w:left="1134" w:hanging="1134"/>
        <w:rPr>
          <w:rFonts w:hint="eastAsia" w:cs="Times New Roman"/>
          <w:b w:val="0"/>
          <w:bCs/>
          <w:sz w:val="22"/>
          <w:szCs w:val="20"/>
          <w:highlight w:val="none"/>
          <w:lang w:val="en-US" w:eastAsia="zh-CN" w:bidi="ar-SA"/>
        </w:rPr>
      </w:pPr>
      <w:r>
        <w:rPr>
          <w:rFonts w:hint="eastAsia"/>
          <w:i/>
          <w:iCs/>
          <w:sz w:val="22"/>
          <w:szCs w:val="22"/>
          <w:highlight w:val="none"/>
          <w:lang w:val="en-US" w:eastAsia="zh-CN"/>
        </w:rPr>
        <w:t xml:space="preserve">: The resource/reporting configuration(s) information can be carried in the SIB1 information. </w:t>
      </w:r>
    </w:p>
    <w:p w14:paraId="4DBC23FB">
      <w:pPr>
        <w:pStyle w:val="34"/>
        <w:numPr>
          <w:ilvl w:val="0"/>
          <w:numId w:val="0"/>
        </w:numPr>
        <w:tabs>
          <w:tab w:val="left" w:pos="1701"/>
        </w:tabs>
        <w:autoSpaceDE w:val="0"/>
        <w:autoSpaceDN w:val="0"/>
        <w:adjustRightInd w:val="0"/>
        <w:snapToGrid w:val="0"/>
        <w:spacing w:before="240" w:after="240" w:line="240" w:lineRule="auto"/>
        <w:jc w:val="both"/>
        <w:rPr>
          <w:rFonts w:hint="eastAsia" w:ascii="Times New Roman" w:hAnsi="Times New Roman" w:eastAsia="宋体" w:cs="Times New Roman"/>
          <w:b w:val="0"/>
          <w:bCs/>
          <w:sz w:val="22"/>
          <w:szCs w:val="20"/>
          <w:highlight w:val="none"/>
          <w:lang w:val="en-US" w:eastAsia="zh-CN" w:bidi="ar-SA"/>
        </w:rPr>
      </w:pPr>
      <w:r>
        <w:rPr>
          <w:rFonts w:hint="eastAsia" w:ascii="Times New Roman" w:hAnsi="Times New Roman" w:eastAsia="宋体" w:cs="Times New Roman"/>
          <w:b w:val="0"/>
          <w:bCs/>
          <w:sz w:val="22"/>
          <w:szCs w:val="20"/>
          <w:highlight w:val="none"/>
          <w:lang w:val="en-US" w:eastAsia="zh-CN" w:bidi="ar-SA"/>
        </w:rPr>
        <w:t xml:space="preserve">Based on the capability reported by the UE, the network can send a triggering message through MSG4 to initiate early SRS-AS/CSI-RS/CSI. For CSI reporting, a ‘CSI request’ field can be added to MSG4, similar to the legacy DCI trigger method. Additionally, UL grant information can be included in MSG4 for PUSCH resource allocation for CSI reporting. Furthermore, for MSG4, the UE needs to provide HARQ/ACK feedback. Assuming the HARQ/ACK feedback occurs in slot n, the CSI processing timeline for CSI reporting would begin at </w:t>
      </w:r>
      <w:r>
        <w:rPr>
          <w:rFonts w:hint="eastAsia" w:cs="Times New Roman"/>
          <w:b w:val="0"/>
          <w:bCs/>
          <w:sz w:val="22"/>
          <w:szCs w:val="20"/>
          <w:highlight w:val="none"/>
          <w:lang w:val="en-US" w:eastAsia="zh-CN" w:bidi="ar-SA"/>
        </w:rPr>
        <w:t>slot n+</w:t>
      </w:r>
      <m:oMath>
        <m:sSubSup>
          <m:sSubSupPr>
            <m:ctrlPr>
              <w:rPr>
                <w:rFonts w:ascii="Cambria Math" w:hAnsi="Cambria Math"/>
                <w:color w:val="auto"/>
                <w:highlight w:val="none"/>
                <w:lang w:val="en-US"/>
              </w:rPr>
            </m:ctrlPr>
          </m:sSubSupPr>
          <m:e>
            <m:r>
              <m:rPr/>
              <w:rPr>
                <w:rFonts w:ascii="Cambria Math" w:hAnsi="Cambria Math"/>
                <w:color w:val="auto"/>
                <w:highlight w:val="none"/>
                <w:lang w:val="en-US"/>
              </w:rPr>
              <m:t>3N</m:t>
            </m:r>
            <m:ctrlPr>
              <w:rPr>
                <w:rFonts w:ascii="Cambria Math" w:hAnsi="Cambria Math"/>
                <w:color w:val="auto"/>
                <w:highlight w:val="none"/>
                <w:lang w:val="en-US"/>
              </w:rPr>
            </m:ctrlPr>
          </m:e>
          <m:sub>
            <m:r>
              <m:rPr/>
              <w:rPr>
                <w:rFonts w:ascii="Cambria Math" w:hAnsi="Cambria Math"/>
                <w:color w:val="auto"/>
                <w:highlight w:val="none"/>
                <w:lang w:val="en-US"/>
              </w:rPr>
              <m:t>slot</m:t>
            </m:r>
            <m:ctrlPr>
              <w:rPr>
                <w:rFonts w:ascii="Cambria Math" w:hAnsi="Cambria Math"/>
                <w:color w:val="auto"/>
                <w:highlight w:val="none"/>
                <w:lang w:val="en-US"/>
              </w:rPr>
            </m:ctrlPr>
          </m:sub>
          <m:sup>
            <m:r>
              <m:rPr/>
              <w:rPr>
                <w:rFonts w:ascii="Cambria Math" w:hAnsi="Cambria Math"/>
                <w:color w:val="auto"/>
                <w:highlight w:val="none"/>
                <w:lang w:val="en-US"/>
              </w:rPr>
              <m:t>subframe,µ</m:t>
            </m:r>
            <m:ctrlPr>
              <w:rPr>
                <w:rFonts w:ascii="Cambria Math" w:hAnsi="Cambria Math"/>
                <w:color w:val="auto"/>
                <w:highlight w:val="none"/>
                <w:lang w:val="en-US"/>
              </w:rPr>
            </m:ctrlPr>
          </m:sup>
        </m:sSubSup>
      </m:oMath>
      <w:r>
        <w:rPr>
          <w:rFonts w:hint="eastAsia" w:hAnsi="Cambria Math"/>
          <w:i w:val="0"/>
          <w:color w:val="auto"/>
          <w:highlight w:val="none"/>
          <w:lang w:val="en-US" w:eastAsia="zh-CN"/>
        </w:rPr>
        <w:t xml:space="preserve">. </w:t>
      </w:r>
    </w:p>
    <w:p w14:paraId="10439F0F">
      <w:pPr>
        <w:pStyle w:val="34"/>
        <w:numPr>
          <w:ilvl w:val="0"/>
          <w:numId w:val="10"/>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For early CSI reporting triggering, </w:t>
      </w:r>
      <w:r>
        <w:rPr>
          <w:rFonts w:hint="default"/>
          <w:i/>
          <w:iCs/>
          <w:sz w:val="22"/>
          <w:szCs w:val="22"/>
          <w:highlight w:val="none"/>
          <w:lang w:val="en-US" w:eastAsia="zh-CN"/>
        </w:rPr>
        <w:t>‘</w:t>
      </w:r>
      <w:r>
        <w:rPr>
          <w:rFonts w:hint="eastAsia"/>
          <w:i/>
          <w:iCs/>
          <w:sz w:val="22"/>
          <w:szCs w:val="22"/>
          <w:highlight w:val="none"/>
          <w:lang w:val="en-US" w:eastAsia="zh-CN"/>
        </w:rPr>
        <w:t>CSI request</w:t>
      </w:r>
      <w:r>
        <w:rPr>
          <w:rFonts w:hint="default"/>
          <w:i/>
          <w:iCs/>
          <w:sz w:val="22"/>
          <w:szCs w:val="22"/>
          <w:highlight w:val="none"/>
          <w:lang w:val="en-US" w:eastAsia="zh-CN"/>
        </w:rPr>
        <w:t>’</w:t>
      </w:r>
      <w:r>
        <w:rPr>
          <w:rFonts w:hint="eastAsia"/>
          <w:i/>
          <w:iCs/>
          <w:sz w:val="22"/>
          <w:szCs w:val="22"/>
          <w:highlight w:val="none"/>
          <w:lang w:val="en-US" w:eastAsia="zh-CN"/>
        </w:rPr>
        <w:t xml:space="preserve"> field can be added to MSG4 to trigger CSI reporting. </w:t>
      </w:r>
    </w:p>
    <w:p w14:paraId="12A551A6">
      <w:pPr>
        <w:pStyle w:val="34"/>
        <w:numPr>
          <w:ilvl w:val="0"/>
          <w:numId w:val="10"/>
        </w:numPr>
        <w:tabs>
          <w:tab w:val="left" w:pos="1701"/>
        </w:tabs>
        <w:spacing w:before="240" w:after="240" w:line="240" w:lineRule="auto"/>
        <w:ind w:left="1134" w:hanging="1134"/>
        <w:rPr>
          <w:rFonts w:hint="eastAsia" w:cs="Times New Roman"/>
          <w:b w:val="0"/>
          <w:bCs/>
          <w:sz w:val="22"/>
          <w:szCs w:val="20"/>
          <w:highlight w:val="none"/>
          <w:lang w:val="en-US" w:eastAsia="zh-CN" w:bidi="ar-SA"/>
        </w:rPr>
      </w:pPr>
      <w:r>
        <w:rPr>
          <w:rFonts w:hint="eastAsia"/>
          <w:i/>
          <w:iCs/>
          <w:sz w:val="22"/>
          <w:szCs w:val="22"/>
          <w:highlight w:val="none"/>
          <w:lang w:val="en-US" w:eastAsia="zh-CN"/>
        </w:rPr>
        <w:t>: For early CSI reporting triggering, UL grant information can be added to MSG4 to allocate PUSCH resource for CSI reporting.</w:t>
      </w:r>
    </w:p>
    <w:p w14:paraId="40E23B38">
      <w:pPr>
        <w:pStyle w:val="34"/>
        <w:numPr>
          <w:ilvl w:val="0"/>
          <w:numId w:val="10"/>
        </w:numPr>
        <w:tabs>
          <w:tab w:val="left" w:pos="1701"/>
        </w:tabs>
        <w:spacing w:before="240" w:after="240" w:line="240" w:lineRule="auto"/>
        <w:ind w:left="1134" w:hanging="1134"/>
        <w:rPr>
          <w:rFonts w:hint="eastAsia" w:hAnsi="Cambria Math"/>
          <w:b/>
          <w:bCs/>
          <w:i/>
          <w:iCs/>
          <w:sz w:val="22"/>
          <w:szCs w:val="22"/>
          <w:highlight w:val="none"/>
          <w:lang w:val="en-US" w:eastAsia="zh-CN"/>
        </w:rPr>
      </w:pPr>
      <w:r>
        <w:rPr>
          <w:rFonts w:hint="eastAsia"/>
          <w:i/>
          <w:iCs/>
          <w:sz w:val="22"/>
          <w:szCs w:val="22"/>
          <w:highlight w:val="none"/>
          <w:lang w:val="en-US" w:eastAsia="zh-CN"/>
        </w:rPr>
        <w:t>: For early CSI reporting triggering, the CSI reporting timeline begain at slot n+</w:t>
      </w:r>
      <m:oMath>
        <m:sSubSup>
          <m:sSubSupPr>
            <m:ctrlPr>
              <w:rPr>
                <w:rFonts w:hint="eastAsia" w:ascii="Cambria Math" w:hAnsi="Cambria Math"/>
                <w:b/>
                <w:bCs/>
                <w:i/>
                <w:iCs/>
                <w:sz w:val="22"/>
                <w:szCs w:val="22"/>
                <w:highlight w:val="none"/>
                <w:lang w:val="en-US" w:eastAsia="zh-CN"/>
              </w:rPr>
            </m:ctrlPr>
          </m:sSubSupPr>
          <m:e>
            <m:r>
              <m:rPr>
                <m:sty m:val="bi"/>
              </m:rPr>
              <w:rPr>
                <w:rFonts w:hint="default" w:ascii="Times New Roman" w:hAnsi="Times New Roman"/>
                <w:sz w:val="22"/>
                <w:szCs w:val="22"/>
                <w:highlight w:val="none"/>
                <w:lang w:val="en-US" w:eastAsia="zh-CN"/>
              </w:rPr>
              <m:t>3N</m:t>
            </m:r>
            <m:ctrlPr>
              <w:rPr>
                <w:rFonts w:hint="eastAsia" w:ascii="Cambria Math" w:hAnsi="Cambria Math"/>
                <w:b/>
                <w:bCs/>
                <w:i/>
                <w:iCs/>
                <w:sz w:val="22"/>
                <w:szCs w:val="22"/>
                <w:highlight w:val="none"/>
                <w:lang w:val="en-US" w:eastAsia="zh-CN"/>
              </w:rPr>
            </m:ctrlPr>
          </m:e>
          <m:sub>
            <m:r>
              <m:rPr>
                <m:sty m:val="bi"/>
              </m:rPr>
              <w:rPr>
                <w:rFonts w:hint="default" w:ascii="Times New Roman" w:hAnsi="Times New Roman"/>
                <w:sz w:val="22"/>
                <w:szCs w:val="22"/>
                <w:highlight w:val="none"/>
                <w:lang w:val="en-US" w:eastAsia="zh-CN"/>
              </w:rPr>
              <m:t>slot</m:t>
            </m:r>
            <m:ctrlPr>
              <w:rPr>
                <w:rFonts w:hint="eastAsia" w:ascii="Cambria Math" w:hAnsi="Cambria Math"/>
                <w:b/>
                <w:bCs/>
                <w:i/>
                <w:iCs/>
                <w:sz w:val="22"/>
                <w:szCs w:val="22"/>
                <w:highlight w:val="none"/>
                <w:lang w:val="en-US" w:eastAsia="zh-CN"/>
              </w:rPr>
            </m:ctrlPr>
          </m:sub>
          <m:sup>
            <m:r>
              <m:rPr>
                <m:sty m:val="bi"/>
              </m:rPr>
              <w:rPr>
                <w:rFonts w:hint="default" w:ascii="Times New Roman" w:hAnsi="Times New Roman"/>
                <w:sz w:val="22"/>
                <w:szCs w:val="22"/>
                <w:highlight w:val="none"/>
                <w:lang w:val="en-US" w:eastAsia="zh-CN"/>
              </w:rPr>
              <m:t>subframe,µ</m:t>
            </m:r>
            <m:ctrlPr>
              <w:rPr>
                <w:rFonts w:hint="eastAsia" w:ascii="Cambria Math" w:hAnsi="Cambria Math"/>
                <w:b/>
                <w:bCs/>
                <w:i/>
                <w:iCs/>
                <w:sz w:val="22"/>
                <w:szCs w:val="22"/>
                <w:highlight w:val="none"/>
                <w:lang w:val="en-US" w:eastAsia="zh-CN"/>
              </w:rPr>
            </m:ctrlPr>
          </m:sup>
        </m:sSubSup>
      </m:oMath>
      <w:r>
        <w:rPr>
          <w:rFonts w:hint="eastAsia" w:hAnsi="Cambria Math"/>
          <w:b/>
          <w:bCs/>
          <w:i/>
          <w:iCs/>
          <w:sz w:val="22"/>
          <w:szCs w:val="22"/>
          <w:highlight w:val="none"/>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9F2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4723112">
            <w:pPr>
              <w:keepNext w:val="0"/>
              <w:keepLines w:val="0"/>
              <w:widowControl w:val="0"/>
              <w:suppressLineNumbers w:val="0"/>
              <w:snapToGrid w:val="0"/>
              <w:spacing w:before="120" w:beforeLines="50" w:beforeAutospacing="0" w:afterAutospacing="0"/>
              <w:ind w:left="0" w:right="0"/>
              <w:jc w:val="both"/>
              <w:rPr>
                <w:rFonts w:hint="eastAsia" w:ascii="Times New Roman" w:hAnsi="Times New Roman" w:eastAsia="宋体"/>
                <w:b/>
                <w:sz w:val="22"/>
                <w:szCs w:val="22"/>
                <w:highlight w:val="none"/>
              </w:rPr>
            </w:pPr>
            <w:r>
              <w:rPr>
                <w:rFonts w:hint="eastAsia" w:ascii="Times New Roman" w:hAnsi="Times New Roman" w:eastAsia="宋体"/>
                <w:b/>
                <w:color w:val="auto"/>
                <w:szCs w:val="20"/>
                <w:highlight w:val="green"/>
              </w:rPr>
              <w:t>Agreement:</w:t>
            </w:r>
            <w:r>
              <w:rPr>
                <w:rFonts w:hint="eastAsia" w:ascii="Times New Roman" w:hAnsi="Times New Roman" w:eastAsia="宋体"/>
                <w:b/>
                <w:sz w:val="22"/>
                <w:szCs w:val="22"/>
                <w:highlight w:val="none"/>
              </w:rPr>
              <w:t xml:space="preserve"> </w:t>
            </w:r>
          </w:p>
          <w:p w14:paraId="3D16B31A">
            <w:pPr>
              <w:keepNext w:val="0"/>
              <w:keepLines w:val="0"/>
              <w:widowControl w:val="0"/>
              <w:suppressLineNumbers w:val="0"/>
              <w:spacing w:before="0" w:beforeAutospacing="0" w:afterAutospacing="0"/>
              <w:ind w:left="0" w:right="0"/>
              <w:rPr>
                <w:rFonts w:hint="eastAsia" w:ascii="Times New Roman" w:hAnsi="Times New Roman"/>
                <w:szCs w:val="20"/>
                <w:highlight w:val="none"/>
              </w:rPr>
            </w:pPr>
            <w:r>
              <w:rPr>
                <w:rFonts w:hint="eastAsia" w:ascii="Times New Roman" w:hAnsi="Times New Roman"/>
                <w:szCs w:val="20"/>
                <w:highlight w:val="none"/>
              </w:rPr>
              <w:t>For</w:t>
            </w:r>
            <w:r>
              <w:rPr>
                <w:rFonts w:hint="eastAsia" w:ascii="Times New Roman" w:hAnsi="Times New Roman" w:eastAsia="宋体"/>
                <w:bCs/>
                <w:szCs w:val="20"/>
                <w:highlight w:val="none"/>
              </w:rPr>
              <w:t xml:space="preserve"> early triggering of SRS-AS/CSI-RS/CSI when</w:t>
            </w:r>
            <w:r>
              <w:rPr>
                <w:rFonts w:hint="eastAsia" w:ascii="Times New Roman" w:hAnsi="Times New Roman"/>
                <w:szCs w:val="20"/>
                <w:highlight w:val="none"/>
              </w:rPr>
              <w:t xml:space="preserve"> UE transition from IDLE to CONNECTED mode, study the following at least three options for Step-1 and Step-2:</w:t>
            </w:r>
          </w:p>
          <w:p w14:paraId="27857F82">
            <w:pPr>
              <w:pStyle w:val="45"/>
              <w:keepNext w:val="0"/>
              <w:keepLines w:val="0"/>
              <w:widowControl w:val="0"/>
              <w:numPr>
                <w:ilvl w:val="0"/>
                <w:numId w:val="12"/>
              </w:numPr>
              <w:suppressLineNumbers w:val="0"/>
              <w:spacing w:before="0" w:beforeAutospacing="0" w:afterAutospacing="0"/>
              <w:ind w:leftChars="0" w:right="0" w:hanging="158"/>
              <w:contextualSpacing/>
              <w:jc w:val="both"/>
              <w:rPr>
                <w:rFonts w:hint="eastAsia" w:ascii="Times New Roman" w:hAnsi="Times New Roman"/>
                <w:szCs w:val="20"/>
                <w:highlight w:val="none"/>
              </w:rPr>
            </w:pPr>
            <w:r>
              <w:rPr>
                <w:rFonts w:hint="eastAsia" w:ascii="Times New Roman" w:hAnsi="Times New Roman"/>
                <w:szCs w:val="20"/>
                <w:highlight w:val="none"/>
              </w:rPr>
              <w:t>Option-1: NW can provide the resource/report configuration in SIBx based on only one UE capability assumption, and UE can report through MSG3 whether the resource/report configuration received in SIBx is supported.</w:t>
            </w:r>
          </w:p>
          <w:p w14:paraId="48A6DF3A">
            <w:pPr>
              <w:pStyle w:val="45"/>
              <w:keepNext w:val="0"/>
              <w:keepLines w:val="0"/>
              <w:widowControl w:val="0"/>
              <w:numPr>
                <w:ilvl w:val="0"/>
                <w:numId w:val="12"/>
              </w:numPr>
              <w:suppressLineNumbers w:val="0"/>
              <w:spacing w:before="0" w:beforeAutospacing="0" w:afterAutospacing="0"/>
              <w:ind w:leftChars="0" w:right="0" w:hanging="158"/>
              <w:contextualSpacing/>
              <w:rPr>
                <w:rFonts w:hint="eastAsia" w:ascii="Times New Roman" w:hAnsi="Times New Roman"/>
                <w:szCs w:val="20"/>
                <w:highlight w:val="none"/>
              </w:rPr>
            </w:pPr>
            <w:r>
              <w:rPr>
                <w:rFonts w:hint="eastAsia" w:ascii="Times New Roman" w:hAnsi="Times New Roman"/>
                <w:szCs w:val="20"/>
                <w:highlight w:val="none"/>
              </w:rPr>
              <w:t xml:space="preserve">Option-2: NW can provide the resource/report configuration(s) in SIBx based on one or multiple UE capability assumptions, and UE can report through MSG3 </w:t>
            </w:r>
            <w:r>
              <w:rPr>
                <w:rFonts w:hint="eastAsia" w:ascii="Times New Roman" w:hAnsi="Times New Roman"/>
                <w:szCs w:val="20"/>
                <w:highlight w:val="none"/>
              </w:rPr>
              <w:t xml:space="preserve">which </w:t>
            </w:r>
            <w:r>
              <w:rPr>
                <w:rFonts w:hint="eastAsia" w:ascii="Times New Roman" w:hAnsi="Times New Roman"/>
                <w:szCs w:val="20"/>
                <w:highlight w:val="none"/>
              </w:rPr>
              <w:t>resource/report configuration(s) received in SIBx is/are supported.</w:t>
            </w:r>
          </w:p>
          <w:p w14:paraId="1A078175">
            <w:pPr>
              <w:pStyle w:val="45"/>
              <w:keepNext w:val="0"/>
              <w:keepLines w:val="0"/>
              <w:widowControl w:val="0"/>
              <w:numPr>
                <w:ilvl w:val="0"/>
                <w:numId w:val="12"/>
              </w:numPr>
              <w:suppressLineNumbers w:val="0"/>
              <w:spacing w:before="0" w:beforeAutospacing="0" w:afterAutospacing="0"/>
              <w:ind w:leftChars="0" w:right="0" w:hanging="158"/>
              <w:contextualSpacing/>
              <w:rPr>
                <w:rFonts w:hint="eastAsia" w:ascii="Times New Roman" w:hAnsi="Times New Roman"/>
                <w:szCs w:val="20"/>
                <w:highlight w:val="none"/>
              </w:rPr>
            </w:pPr>
            <w:r>
              <w:rPr>
                <w:rFonts w:hint="eastAsia" w:ascii="Times New Roman" w:hAnsi="Times New Roman"/>
                <w:szCs w:val="20"/>
                <w:highlight w:val="none"/>
              </w:rPr>
              <w:t xml:space="preserve">Option-3: NW can provide the resource/report configuration(s) in SIBx based on one or multiple UE capability assumptions, and UE can report through MSG3 the supported capability(s) of </w:t>
            </w:r>
            <w:r>
              <w:rPr>
                <w:rFonts w:hint="eastAsia" w:ascii="Times New Roman" w:hAnsi="Times New Roman"/>
                <w:szCs w:val="20"/>
                <w:highlight w:val="none"/>
              </w:rPr>
              <w:t>early SRS/CSI/CSI-RS triggering</w:t>
            </w:r>
            <w:r>
              <w:rPr>
                <w:rFonts w:hint="eastAsia" w:ascii="Times New Roman" w:hAnsi="Times New Roman"/>
                <w:szCs w:val="20"/>
                <w:highlight w:val="none"/>
              </w:rPr>
              <w:t xml:space="preserve"> (e.g., whether to support this feature, max number of CSI-RS ports, xTyR for SRS-AS, </w:t>
            </w:r>
            <w:r>
              <w:rPr>
                <w:rFonts w:hint="eastAsia" w:ascii="Times New Roman" w:hAnsi="Times New Roman" w:eastAsia="Times New Roman"/>
                <w:szCs w:val="20"/>
                <w:highlight w:val="none"/>
                <w:lang w:eastAsia="ko-KR"/>
              </w:rPr>
              <w:t>max bandwidth of the CSI-RS/SRS-AS</w:t>
            </w:r>
            <w:r>
              <w:rPr>
                <w:rFonts w:hint="eastAsia" w:ascii="Times New Roman" w:hAnsi="Times New Roman"/>
                <w:szCs w:val="20"/>
                <w:highlight w:val="none"/>
              </w:rPr>
              <w:t xml:space="preserve"> etc.).</w:t>
            </w:r>
          </w:p>
          <w:p w14:paraId="2EBF8490">
            <w:pPr>
              <w:keepNext w:val="0"/>
              <w:keepLines w:val="0"/>
              <w:widowControl w:val="0"/>
              <w:suppressLineNumbers w:val="0"/>
              <w:spacing w:before="0" w:beforeAutospacing="0" w:afterAutospacing="0"/>
              <w:ind w:left="0" w:right="0"/>
              <w:rPr>
                <w:rFonts w:hint="eastAsia" w:ascii="Times New Roman" w:hAnsi="Times New Roman"/>
                <w:szCs w:val="20"/>
                <w:highlight w:val="none"/>
              </w:rPr>
            </w:pPr>
            <w:r>
              <w:rPr>
                <w:rFonts w:hint="eastAsia" w:ascii="Times New Roman" w:hAnsi="Times New Roman"/>
                <w:szCs w:val="20"/>
                <w:highlight w:val="none"/>
              </w:rPr>
              <w:t>Note: The term “capability” or “UE capability” above does not mean legacy RRC based UE capability.</w:t>
            </w:r>
          </w:p>
          <w:p w14:paraId="3D2EAED2">
            <w:pPr>
              <w:keepNext w:val="0"/>
              <w:keepLines w:val="0"/>
              <w:widowControl w:val="0"/>
              <w:suppressLineNumbers w:val="0"/>
              <w:spacing w:before="0" w:beforeAutospacing="0" w:after="0" w:afterAutospacing="0"/>
              <w:ind w:left="0" w:right="0"/>
              <w:rPr>
                <w:rFonts w:hint="eastAsia"/>
                <w:highlight w:val="none"/>
                <w:lang w:eastAsia="zh-CN"/>
              </w:rPr>
            </w:pPr>
          </w:p>
        </w:tc>
      </w:tr>
    </w:tbl>
    <w:p w14:paraId="76892145">
      <w:pPr>
        <w:pStyle w:val="34"/>
        <w:numPr>
          <w:ilvl w:val="0"/>
          <w:numId w:val="0"/>
        </w:numPr>
        <w:tabs>
          <w:tab w:val="left" w:pos="1701"/>
        </w:tabs>
        <w:autoSpaceDE w:val="0"/>
        <w:autoSpaceDN w:val="0"/>
        <w:adjustRightInd w:val="0"/>
        <w:snapToGrid w:val="0"/>
        <w:spacing w:before="240" w:after="240" w:line="240" w:lineRule="auto"/>
        <w:jc w:val="both"/>
        <w:rPr>
          <w:rFonts w:hint="eastAsia"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 xml:space="preserve">For the early triggering of SRS-AS/CSI-RS/CSI when a UE transitions from IDLE to CONNECTED mode, the UE may support one or multiple functions. For example, a UE may support triggering CSI-RS for tracking and aperiodic CSI reporting. Therefore, the network can provide the resource/reporting configuration(s) in SIBx, based on one or multiple assumed UE capabilities. The UE can then report its supported capabilities for early SRS, CSI, and/or CSI-RS triggering through Msg3, which are associated with these resource/reporting configuration(s). Additionally, we believe that imposing parameter constraints on each capability is unnecessary, as it would limit the scenarios where each capability can be effectively utilized. </w:t>
      </w:r>
    </w:p>
    <w:p w14:paraId="2CC50487">
      <w:pPr>
        <w:pStyle w:val="34"/>
        <w:numPr>
          <w:ilvl w:val="0"/>
          <w:numId w:val="10"/>
        </w:numPr>
        <w:tabs>
          <w:tab w:val="left" w:pos="1701"/>
        </w:tabs>
        <w:spacing w:before="240" w:after="240" w:line="240" w:lineRule="auto"/>
        <w:ind w:left="1134" w:hanging="1134"/>
        <w:rPr>
          <w:rFonts w:hint="eastAsia" w:cs="Times New Roman"/>
          <w:b w:val="0"/>
          <w:bCs/>
          <w:sz w:val="22"/>
          <w:szCs w:val="20"/>
          <w:highlight w:val="none"/>
          <w:lang w:val="en-US" w:eastAsia="zh-CN" w:bidi="ar-SA"/>
        </w:rPr>
      </w:pPr>
      <w:r>
        <w:rPr>
          <w:rFonts w:hint="eastAsia"/>
          <w:i/>
          <w:iCs/>
          <w:sz w:val="22"/>
          <w:szCs w:val="22"/>
          <w:highlight w:val="none"/>
          <w:lang w:val="en-US" w:eastAsia="zh-CN"/>
        </w:rPr>
        <w:t>: For early SRS/CSI/CSI-RS triggering, the UE reports capability(s) for early SRS/CSI-RS/CSI triggering, and imposing parameter constraints is unnecessary.</w:t>
      </w:r>
    </w:p>
    <w:p w14:paraId="16D09E19">
      <w:pPr>
        <w:pStyle w:val="34"/>
        <w:numPr>
          <w:ilvl w:val="0"/>
          <w:numId w:val="0"/>
        </w:numPr>
        <w:tabs>
          <w:tab w:val="left" w:pos="1701"/>
        </w:tabs>
        <w:autoSpaceDE w:val="0"/>
        <w:autoSpaceDN w:val="0"/>
        <w:adjustRightInd w:val="0"/>
        <w:snapToGrid w:val="0"/>
        <w:spacing w:before="240" w:after="240" w:line="240" w:lineRule="auto"/>
        <w:jc w:val="both"/>
        <w:rPr>
          <w:rFonts w:hint="eastAsia" w:hAnsi="Cambria Math"/>
          <w:b/>
          <w:bCs/>
          <w:i/>
          <w:iCs/>
          <w:sz w:val="22"/>
          <w:szCs w:val="22"/>
          <w:highlight w:val="none"/>
          <w:lang w:val="en-US" w:eastAsia="zh-CN"/>
        </w:rPr>
      </w:pPr>
    </w:p>
    <w:p w14:paraId="7132640C">
      <w:pPr>
        <w:pStyle w:val="3"/>
        <w:rPr>
          <w:highlight w:val="none"/>
          <w:lang w:eastAsia="zh-CN"/>
        </w:rPr>
      </w:pPr>
      <w:r>
        <w:rPr>
          <w:szCs w:val="22"/>
          <w:highlight w:val="none"/>
        </w:rPr>
        <w:t>Early SRS/CSI/CSI-RS triggering</w:t>
      </w:r>
      <w:r>
        <w:rPr>
          <w:rFonts w:hint="eastAsia"/>
          <w:szCs w:val="22"/>
          <w:highlight w:val="none"/>
          <w:lang w:val="en-US" w:eastAsia="zh-CN"/>
        </w:rPr>
        <w:t xml:space="preserve"> for Scell </w:t>
      </w:r>
      <w:r>
        <w:rPr>
          <w:szCs w:val="22"/>
          <w:highlight w:val="none"/>
        </w:rPr>
        <w:t xml:space="preserve">activation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19D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03CBF1B">
            <w:pPr>
              <w:keepNext w:val="0"/>
              <w:keepLines w:val="0"/>
              <w:widowControl w:val="0"/>
              <w:suppressLineNumbers w:val="0"/>
              <w:spacing w:before="0" w:beforeAutospacing="0" w:after="0" w:afterAutospacing="0"/>
              <w:ind w:left="420" w:right="0"/>
              <w:rPr>
                <w:rFonts w:hint="eastAsia"/>
                <w:highlight w:val="none"/>
                <w:lang w:eastAsia="zh-CN"/>
              </w:rPr>
            </w:pPr>
            <w:r>
              <w:rPr>
                <w:rFonts w:hint="eastAsia"/>
                <w:highlight w:val="none"/>
                <w:lang w:val="en-US" w:eastAsia="zh-CN"/>
              </w:rPr>
              <w:t xml:space="preserve"> </w:t>
            </w:r>
          </w:p>
          <w:p w14:paraId="1645FF88">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
                <w:color w:val="auto"/>
                <w:szCs w:val="20"/>
                <w:highlight w:val="green"/>
              </w:rPr>
            </w:pPr>
            <w:r>
              <w:rPr>
                <w:rFonts w:hint="eastAsia" w:ascii="Times New Roman" w:hAnsi="Times New Roman" w:eastAsia="宋体"/>
                <w:b/>
                <w:color w:val="auto"/>
                <w:szCs w:val="20"/>
                <w:highlight w:val="green"/>
              </w:rPr>
              <w:t xml:space="preserve">Agreement: </w:t>
            </w:r>
          </w:p>
          <w:p w14:paraId="5DC42BAB">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Cs/>
                <w:szCs w:val="20"/>
                <w:highlight w:val="none"/>
              </w:rPr>
            </w:pPr>
            <w:r>
              <w:rPr>
                <w:rFonts w:hint="eastAsia" w:ascii="Times New Roman" w:hAnsi="Times New Roman" w:eastAsia="宋体"/>
                <w:bCs/>
                <w:szCs w:val="20"/>
                <w:highlight w:val="none"/>
              </w:rPr>
              <w:t>For early triggering of SRS-AS when SCell transition from deactivation to activation, support at least aperiodic SRS-AS</w:t>
            </w:r>
            <w:r>
              <w:rPr>
                <w:rFonts w:hint="eastAsia" w:ascii="PMingLiU" w:hAnsi="PMingLiU"/>
                <w:bCs/>
                <w:szCs w:val="20"/>
                <w:highlight w:val="none"/>
              </w:rPr>
              <w:t xml:space="preserve"> </w:t>
            </w:r>
            <w:r>
              <w:rPr>
                <w:rFonts w:hint="eastAsia" w:ascii="Times New Roman" w:hAnsi="Times New Roman"/>
                <w:bCs/>
                <w:szCs w:val="20"/>
                <w:highlight w:val="none"/>
              </w:rPr>
              <w:t xml:space="preserve">transmission on a SCell, </w:t>
            </w:r>
            <w:r>
              <w:rPr>
                <w:rFonts w:hint="eastAsia" w:ascii="Times New Roman" w:hAnsi="Times New Roman" w:eastAsia="宋体"/>
                <w:bCs/>
                <w:szCs w:val="20"/>
                <w:highlight w:val="none"/>
              </w:rPr>
              <w:t>triggered based on legacy SCell activation command activating the SCell.</w:t>
            </w:r>
          </w:p>
          <w:p w14:paraId="60D05B4B">
            <w:pPr>
              <w:pStyle w:val="45"/>
              <w:keepNext w:val="0"/>
              <w:keepLines w:val="0"/>
              <w:widowControl w:val="0"/>
              <w:numPr>
                <w:ilvl w:val="0"/>
                <w:numId w:val="13"/>
              </w:numPr>
              <w:suppressLineNumbers w:val="0"/>
              <w:suppressAutoHyphens/>
              <w:snapToGrid w:val="0"/>
              <w:spacing w:before="0" w:beforeAutospacing="0" w:afterAutospacing="0" w:line="254" w:lineRule="auto"/>
              <w:ind w:left="426" w:leftChars="0" w:right="0" w:hanging="142"/>
              <w:contextualSpacing/>
              <w:jc w:val="both"/>
              <w:rPr>
                <w:rFonts w:hint="eastAsia" w:ascii="Times New Roman" w:hAnsi="Times New Roman" w:eastAsia="PMingLiU"/>
                <w:bCs/>
                <w:szCs w:val="20"/>
                <w:highlight w:val="none"/>
              </w:rPr>
            </w:pPr>
            <w:r>
              <w:rPr>
                <w:rFonts w:hint="eastAsia" w:ascii="Times New Roman" w:hAnsi="Times New Roman"/>
                <w:bCs/>
                <w:szCs w:val="20"/>
                <w:highlight w:val="none"/>
              </w:rPr>
              <w:t>FFS: Timeline of the aperiodic SRS-AS</w:t>
            </w:r>
            <w:r>
              <w:rPr>
                <w:rFonts w:hint="eastAsia" w:ascii="PMingLiU" w:hAnsi="PMingLiU"/>
                <w:bCs/>
                <w:szCs w:val="20"/>
                <w:highlight w:val="none"/>
              </w:rPr>
              <w:t xml:space="preserve"> </w:t>
            </w:r>
            <w:r>
              <w:rPr>
                <w:rFonts w:hint="eastAsia" w:ascii="Times New Roman" w:hAnsi="Times New Roman"/>
                <w:bCs/>
                <w:szCs w:val="20"/>
                <w:highlight w:val="none"/>
              </w:rPr>
              <w:t>transmission (requirement is up to RAN4)</w:t>
            </w:r>
          </w:p>
          <w:p w14:paraId="632F6AFC">
            <w:pPr>
              <w:pStyle w:val="45"/>
              <w:keepNext w:val="0"/>
              <w:keepLines w:val="0"/>
              <w:widowControl w:val="0"/>
              <w:numPr>
                <w:ilvl w:val="0"/>
                <w:numId w:val="13"/>
              </w:numPr>
              <w:suppressLineNumbers w:val="0"/>
              <w:suppressAutoHyphens/>
              <w:snapToGrid w:val="0"/>
              <w:spacing w:before="0" w:beforeAutospacing="0" w:afterAutospacing="0" w:line="254" w:lineRule="auto"/>
              <w:ind w:left="426" w:leftChars="0" w:right="0" w:hanging="142"/>
              <w:contextualSpacing/>
              <w:jc w:val="both"/>
              <w:rPr>
                <w:rFonts w:hint="eastAsia" w:ascii="Times New Roman" w:hAnsi="Times New Roman" w:eastAsia="PMingLiU"/>
                <w:bCs/>
                <w:szCs w:val="20"/>
                <w:highlight w:val="none"/>
              </w:rPr>
            </w:pPr>
            <w:r>
              <w:rPr>
                <w:rFonts w:hint="eastAsia" w:ascii="Times New Roman" w:hAnsi="Times New Roman" w:eastAsia="PMingLiU"/>
                <w:bCs/>
                <w:szCs w:val="20"/>
                <w:highlight w:val="none"/>
              </w:rPr>
              <w:t>FFS: How to trigger the aperiodic SRS-AS transmission based on legacy SCell activation command</w:t>
            </w:r>
          </w:p>
          <w:p w14:paraId="6AE66093">
            <w:pPr>
              <w:pStyle w:val="45"/>
              <w:keepNext w:val="0"/>
              <w:keepLines w:val="0"/>
              <w:widowControl w:val="0"/>
              <w:numPr>
                <w:ilvl w:val="0"/>
                <w:numId w:val="13"/>
              </w:numPr>
              <w:suppressLineNumbers w:val="0"/>
              <w:suppressAutoHyphens/>
              <w:snapToGrid w:val="0"/>
              <w:spacing w:before="0" w:beforeAutospacing="0" w:afterAutospacing="0" w:line="254" w:lineRule="auto"/>
              <w:ind w:left="426" w:leftChars="0" w:right="0" w:hanging="142"/>
              <w:contextualSpacing/>
              <w:jc w:val="both"/>
              <w:rPr>
                <w:rFonts w:hint="eastAsia"/>
                <w:highlight w:val="none"/>
                <w:lang w:eastAsia="zh-CN"/>
              </w:rPr>
            </w:pPr>
            <w:r>
              <w:rPr>
                <w:rFonts w:hint="eastAsia" w:ascii="Times New Roman" w:hAnsi="Times New Roman"/>
                <w:bCs/>
                <w:szCs w:val="20"/>
                <w:highlight w:val="none"/>
              </w:rPr>
              <w:t>FFS:</w:t>
            </w:r>
            <w:r>
              <w:rPr>
                <w:rFonts w:hint="eastAsia" w:ascii="Times New Roman" w:hAnsi="Times New Roman" w:eastAsia="PMingLiU"/>
                <w:bCs/>
                <w:szCs w:val="20"/>
                <w:highlight w:val="none"/>
              </w:rPr>
              <w:t xml:space="preserve"> Whether/what new information is provided in </w:t>
            </w:r>
            <w:r>
              <w:rPr>
                <w:rFonts w:hint="eastAsia" w:ascii="Times New Roman" w:hAnsi="Times New Roman"/>
                <w:bCs/>
                <w:szCs w:val="20"/>
                <w:highlight w:val="none"/>
              </w:rPr>
              <w:t>SCell activation command?</w:t>
            </w:r>
          </w:p>
        </w:tc>
      </w:tr>
    </w:tbl>
    <w:p w14:paraId="1B2C6582">
      <w:pPr>
        <w:rPr>
          <w:rFonts w:hint="default"/>
          <w:highlight w:val="none"/>
          <w:lang w:val="en-US" w:eastAsia="zh-CN"/>
        </w:rPr>
      </w:pPr>
    </w:p>
    <w:p w14:paraId="61A2C032">
      <w:pPr>
        <w:rPr>
          <w:rFonts w:hint="eastAsia"/>
          <w:highlight w:val="none"/>
          <w:lang w:val="en-US" w:eastAsia="zh-CN"/>
        </w:rPr>
      </w:pPr>
      <w:r>
        <w:rPr>
          <w:rFonts w:hint="eastAsia"/>
          <w:highlight w:val="none"/>
          <w:lang w:val="en-US" w:eastAsia="zh-CN"/>
        </w:rPr>
        <w:t>Based on the current specification, there are two types of MAC CE information that can be used to activate or deactivate the SCell: SCell activation/deactivation MAC CEs and enhanced SCell activation/deactivation MAC CEs. We believe both can be reused to trigger aperiodic SRS-AS transmission. Furthermore, for each activated SCell, a specific aperiodic SRS-AS resource can be configured, similar to the specific TRS configuration for the activated SCell. By adding an ‘SRS-Request’ field to the SCell activation command, aperiodic CSI reporting can be triggered.</w:t>
      </w:r>
    </w:p>
    <w:p w14:paraId="2D3A5934">
      <w:pPr>
        <w:rPr>
          <w:rFonts w:hint="eastAsia"/>
          <w:highlight w:val="none"/>
          <w:lang w:val="en-US" w:eastAsia="zh-CN"/>
        </w:rPr>
      </w:pPr>
      <w:r>
        <w:rPr>
          <w:rFonts w:hint="eastAsia"/>
          <w:highlight w:val="none"/>
          <w:lang w:val="en-US" w:eastAsia="zh-CN"/>
        </w:rPr>
        <w:t>Meanwhile, to distinguish the legacy SCell activation MAC CE information, a new field can be defined to indicate whether to trigger SRS-AS during SCell activation. For example, the reserved field ‘</w:t>
      </w:r>
      <w:r>
        <w:rPr>
          <w:rFonts w:hint="eastAsia"/>
          <w:i/>
          <w:iCs/>
          <w:highlight w:val="none"/>
          <w:lang w:val="en-US" w:eastAsia="zh-CN"/>
        </w:rPr>
        <w:t>R</w:t>
      </w:r>
      <w:r>
        <w:rPr>
          <w:rFonts w:hint="eastAsia"/>
          <w:highlight w:val="none"/>
          <w:lang w:val="en-US" w:eastAsia="zh-CN"/>
        </w:rPr>
        <w:t>’ in the legacy MAC CE information can be reused for this purpose.</w:t>
      </w:r>
    </w:p>
    <w:p w14:paraId="4CD7C85C">
      <w:pPr>
        <w:pStyle w:val="34"/>
        <w:numPr>
          <w:ilvl w:val="0"/>
          <w:numId w:val="10"/>
        </w:numPr>
        <w:tabs>
          <w:tab w:val="left" w:pos="1701"/>
        </w:tabs>
        <w:spacing w:before="240" w:after="240" w:line="240" w:lineRule="auto"/>
        <w:ind w:left="1134" w:hanging="1134"/>
        <w:rPr>
          <w:rFonts w:hint="eastAsia"/>
          <w:highlight w:val="none"/>
          <w:lang w:eastAsia="zh-CN"/>
        </w:rPr>
      </w:pPr>
      <w:r>
        <w:rPr>
          <w:rFonts w:hint="eastAsia"/>
          <w:i/>
          <w:iCs/>
          <w:sz w:val="22"/>
          <w:szCs w:val="22"/>
          <w:highlight w:val="none"/>
          <w:lang w:val="en-US" w:eastAsia="zh-CN"/>
        </w:rPr>
        <w:t xml:space="preserve">: For early SRS-AS triggering, the specific </w:t>
      </w:r>
      <w:r>
        <w:rPr>
          <w:rFonts w:hint="eastAsia"/>
          <w:highlight w:val="none"/>
          <w:lang w:val="en-US" w:eastAsia="zh-CN"/>
        </w:rPr>
        <w:t xml:space="preserve">aperiodic SRS-AS resource can be configured for SCell. </w:t>
      </w:r>
    </w:p>
    <w:p w14:paraId="63329686">
      <w:pPr>
        <w:pStyle w:val="34"/>
        <w:numPr>
          <w:ilvl w:val="0"/>
          <w:numId w:val="10"/>
        </w:numPr>
        <w:tabs>
          <w:tab w:val="left" w:pos="1701"/>
        </w:tabs>
        <w:spacing w:before="240" w:after="240" w:line="240" w:lineRule="auto"/>
        <w:ind w:left="1134" w:hanging="1134"/>
        <w:rPr>
          <w:rFonts w:hint="eastAsia"/>
          <w:highlight w:val="none"/>
          <w:lang w:eastAsia="zh-CN"/>
        </w:rPr>
      </w:pPr>
      <w:r>
        <w:rPr>
          <w:rFonts w:hint="eastAsia"/>
          <w:i/>
          <w:iCs/>
          <w:sz w:val="22"/>
          <w:szCs w:val="22"/>
          <w:highlight w:val="none"/>
          <w:lang w:val="en-US" w:eastAsia="zh-CN"/>
        </w:rPr>
        <w:t xml:space="preserve">: For </w:t>
      </w:r>
      <w:r>
        <w:rPr>
          <w:rFonts w:hint="eastAsia"/>
          <w:highlight w:val="none"/>
          <w:lang w:eastAsia="zh-CN"/>
        </w:rPr>
        <w:t>early SRS-AS triggering, an SRS-Request field can be added to the SCell activation command to trigger aperiodic SRS measurement.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036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3C2461E">
            <w:pPr>
              <w:keepNext w:val="0"/>
              <w:keepLines w:val="0"/>
              <w:widowControl w:val="0"/>
              <w:suppressLineNumbers w:val="0"/>
              <w:spacing w:before="0" w:beforeAutospacing="0" w:after="0" w:afterAutospacing="0"/>
              <w:ind w:left="420" w:right="0"/>
              <w:rPr>
                <w:rFonts w:hint="eastAsia"/>
                <w:highlight w:val="none"/>
                <w:lang w:eastAsia="zh-CN"/>
              </w:rPr>
            </w:pPr>
            <w:r>
              <w:rPr>
                <w:rFonts w:hint="eastAsia"/>
                <w:highlight w:val="none"/>
                <w:lang w:val="en-US" w:eastAsia="zh-CN"/>
              </w:rPr>
              <w:t xml:space="preserve"> </w:t>
            </w:r>
          </w:p>
          <w:p w14:paraId="25E4E9B2">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
                <w:color w:val="auto"/>
                <w:szCs w:val="20"/>
                <w:highlight w:val="green"/>
              </w:rPr>
            </w:pPr>
            <w:r>
              <w:rPr>
                <w:rFonts w:hint="eastAsia" w:ascii="Times New Roman" w:hAnsi="Times New Roman" w:eastAsia="宋体"/>
                <w:b/>
                <w:color w:val="auto"/>
                <w:szCs w:val="20"/>
                <w:highlight w:val="green"/>
              </w:rPr>
              <w:t xml:space="preserve">Agreement: </w:t>
            </w:r>
          </w:p>
          <w:p w14:paraId="71C18E2B">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Cs/>
                <w:szCs w:val="20"/>
                <w:highlight w:val="none"/>
              </w:rPr>
            </w:pPr>
            <w:r>
              <w:rPr>
                <w:rFonts w:hint="eastAsia" w:ascii="Times New Roman" w:hAnsi="Times New Roman" w:eastAsia="宋体"/>
                <w:bCs/>
                <w:szCs w:val="20"/>
                <w:highlight w:val="none"/>
              </w:rPr>
              <w:t>For early triggering of CSI/CSI-RS when SCell transition from deactivation to activation, support aperiodic CSI reporting</w:t>
            </w:r>
            <w:r>
              <w:rPr>
                <w:rFonts w:hint="eastAsia" w:ascii="Times New Roman" w:hAnsi="Times New Roman"/>
                <w:bCs/>
                <w:szCs w:val="20"/>
                <w:highlight w:val="none"/>
              </w:rPr>
              <w:t xml:space="preserve"> for a SCell</w:t>
            </w:r>
            <w:r>
              <w:rPr>
                <w:rFonts w:hint="eastAsia" w:ascii="Times New Roman" w:hAnsi="Times New Roman"/>
                <w:bCs/>
                <w:strike/>
                <w:szCs w:val="20"/>
                <w:highlight w:val="none"/>
              </w:rPr>
              <w:t xml:space="preserve"> </w:t>
            </w:r>
            <w:r>
              <w:rPr>
                <w:rFonts w:hint="eastAsia" w:ascii="Times New Roman" w:hAnsi="Times New Roman" w:eastAsia="宋体"/>
                <w:bCs/>
                <w:szCs w:val="20"/>
                <w:highlight w:val="none"/>
              </w:rPr>
              <w:t>triggered based on legacy SCell activation command</w:t>
            </w:r>
            <w:r>
              <w:rPr>
                <w:rFonts w:hint="eastAsia" w:ascii="PMingLiU" w:hAnsi="PMingLiU"/>
                <w:bCs/>
                <w:szCs w:val="20"/>
                <w:highlight w:val="none"/>
              </w:rPr>
              <w:t xml:space="preserve"> </w:t>
            </w:r>
            <w:r>
              <w:rPr>
                <w:rFonts w:hint="eastAsia" w:ascii="Times New Roman" w:hAnsi="Times New Roman" w:eastAsia="宋体"/>
                <w:bCs/>
                <w:szCs w:val="20"/>
                <w:highlight w:val="none"/>
              </w:rPr>
              <w:t>activating the SCell.</w:t>
            </w:r>
          </w:p>
          <w:p w14:paraId="11DB6457">
            <w:pPr>
              <w:pStyle w:val="45"/>
              <w:keepNext w:val="0"/>
              <w:keepLines w:val="0"/>
              <w:widowControl w:val="0"/>
              <w:numPr>
                <w:ilvl w:val="0"/>
                <w:numId w:val="12"/>
              </w:numPr>
              <w:suppressLineNumbers w:val="0"/>
              <w:spacing w:before="0" w:beforeAutospacing="0" w:afterAutospacing="0"/>
              <w:ind w:leftChars="0" w:right="0" w:hanging="158"/>
              <w:contextualSpacing/>
              <w:rPr>
                <w:rFonts w:hint="eastAsia" w:cs="Times"/>
                <w:szCs w:val="20"/>
                <w:highlight w:val="none"/>
                <w:lang w:val="en-US"/>
              </w:rPr>
            </w:pPr>
            <w:r>
              <w:rPr>
                <w:rFonts w:hint="eastAsia" w:cs="Times"/>
                <w:szCs w:val="20"/>
                <w:highlight w:val="none"/>
                <w:lang w:val="en-US"/>
              </w:rPr>
              <w:t>The aperiodic CSI reporting is assosicated with at least aperiodic CSI-RS for CSI on the SCell</w:t>
            </w:r>
          </w:p>
          <w:p w14:paraId="45E467D9">
            <w:pPr>
              <w:pStyle w:val="45"/>
              <w:keepNext w:val="0"/>
              <w:keepLines w:val="0"/>
              <w:widowControl w:val="0"/>
              <w:numPr>
                <w:ilvl w:val="0"/>
                <w:numId w:val="12"/>
              </w:numPr>
              <w:suppressLineNumbers w:val="0"/>
              <w:spacing w:before="0" w:beforeAutospacing="0" w:afterAutospacing="0"/>
              <w:ind w:leftChars="0" w:right="0" w:hanging="158"/>
              <w:contextualSpacing/>
              <w:rPr>
                <w:rFonts w:hint="eastAsia" w:cs="Times"/>
                <w:szCs w:val="20"/>
                <w:highlight w:val="none"/>
                <w:lang w:val="en-US"/>
              </w:rPr>
            </w:pPr>
            <w:r>
              <w:rPr>
                <w:rFonts w:hint="eastAsia" w:cs="Times"/>
                <w:szCs w:val="20"/>
                <w:highlight w:val="none"/>
                <w:lang w:val="en-US"/>
              </w:rPr>
              <w:t>FFS: Timeline of the aperiodic CSI reporting and corresponding aperiodic CSI-RS for CSI</w:t>
            </w:r>
            <w:r>
              <w:rPr>
                <w:rFonts w:hint="eastAsia" w:ascii="Times New Roman" w:hAnsi="Times New Roman"/>
                <w:bCs/>
                <w:szCs w:val="20"/>
                <w:highlight w:val="none"/>
                <w:lang w:val="en-US"/>
              </w:rPr>
              <w:t xml:space="preserve"> (</w:t>
            </w:r>
            <w:r>
              <w:rPr>
                <w:rFonts w:hint="eastAsia" w:ascii="Times New Roman" w:hAnsi="Times New Roman"/>
                <w:bCs/>
                <w:szCs w:val="20"/>
                <w:highlight w:val="none"/>
              </w:rPr>
              <w:t xml:space="preserve">requirement is up to RAN4) </w:t>
            </w:r>
          </w:p>
          <w:p w14:paraId="33038AB4">
            <w:pPr>
              <w:pStyle w:val="45"/>
              <w:keepNext w:val="0"/>
              <w:keepLines w:val="0"/>
              <w:widowControl w:val="0"/>
              <w:numPr>
                <w:ilvl w:val="0"/>
                <w:numId w:val="12"/>
              </w:numPr>
              <w:suppressLineNumbers w:val="0"/>
              <w:spacing w:before="0" w:beforeAutospacing="0" w:afterAutospacing="0"/>
              <w:ind w:leftChars="0" w:right="0" w:hanging="158"/>
              <w:contextualSpacing/>
              <w:rPr>
                <w:rFonts w:hint="eastAsia" w:cs="Times"/>
                <w:szCs w:val="20"/>
                <w:highlight w:val="none"/>
                <w:lang w:val="en-US"/>
              </w:rPr>
            </w:pPr>
            <w:r>
              <w:rPr>
                <w:rFonts w:hint="eastAsia" w:cs="Times"/>
                <w:szCs w:val="20"/>
                <w:highlight w:val="none"/>
                <w:lang w:val="en-US"/>
              </w:rPr>
              <w:t xml:space="preserve">FFS: How to trigger the </w:t>
            </w:r>
            <w:r>
              <w:rPr>
                <w:rFonts w:hint="eastAsia" w:ascii="Times New Roman" w:hAnsi="Times New Roman"/>
                <w:bCs/>
                <w:szCs w:val="20"/>
                <w:highlight w:val="none"/>
              </w:rPr>
              <w:t>aperiodic CSI reporting and corresponding aperiodic CSI-RS for CSI</w:t>
            </w:r>
            <w:r>
              <w:rPr>
                <w:rFonts w:hint="eastAsia" w:cs="Times"/>
                <w:szCs w:val="20"/>
                <w:highlight w:val="none"/>
                <w:lang w:val="en-US"/>
              </w:rPr>
              <w:t xml:space="preserve"> based on legacy SCell activation command?</w:t>
            </w:r>
          </w:p>
          <w:p w14:paraId="7852AEB9">
            <w:pPr>
              <w:pStyle w:val="45"/>
              <w:keepNext w:val="0"/>
              <w:keepLines w:val="0"/>
              <w:widowControl w:val="0"/>
              <w:numPr>
                <w:ilvl w:val="0"/>
                <w:numId w:val="12"/>
              </w:numPr>
              <w:suppressLineNumbers w:val="0"/>
              <w:spacing w:before="0" w:beforeAutospacing="0" w:afterAutospacing="0"/>
              <w:ind w:leftChars="0" w:right="0" w:hanging="158"/>
              <w:contextualSpacing/>
              <w:rPr>
                <w:rFonts w:hint="eastAsia"/>
                <w:highlight w:val="none"/>
                <w:lang w:eastAsia="zh-CN"/>
              </w:rPr>
            </w:pPr>
            <w:r>
              <w:rPr>
                <w:rFonts w:hint="eastAsia" w:cs="Times"/>
                <w:szCs w:val="20"/>
                <w:highlight w:val="none"/>
                <w:lang w:val="en-US"/>
              </w:rPr>
              <w:t>FFS: Whether/what new information is provided in SCell activation command?</w:t>
            </w:r>
          </w:p>
        </w:tc>
      </w:tr>
    </w:tbl>
    <w:p w14:paraId="3759EC90">
      <w:pPr>
        <w:rPr>
          <w:rFonts w:hint="eastAsia"/>
          <w:highlight w:val="none"/>
          <w:lang w:val="en-US" w:eastAsia="zh-CN"/>
        </w:rPr>
      </w:pPr>
    </w:p>
    <w:p w14:paraId="2DB44768">
      <w:pPr>
        <w:rPr>
          <w:rFonts w:hint="eastAsia"/>
          <w:highlight w:val="none"/>
          <w:lang w:val="en-US" w:eastAsia="zh-CN"/>
        </w:rPr>
      </w:pPr>
      <w:r>
        <w:rPr>
          <w:rFonts w:hint="eastAsia"/>
          <w:highlight w:val="none"/>
          <w:lang w:val="en-US" w:eastAsia="zh-CN"/>
        </w:rPr>
        <w:t>Based on the above description, we believe that the two types of MAC CE information can be reused to trigger aperiodic CSI reporting. Furthermore, for each activated SCell, the aperiodic CSI reporting can be based on a specific and pre-configured aperiodic trigger state for the activated SCell, similar to the TRS configuration for the activated SCell. By adding a ‘CSI-Request’ field to the SCell activation command, aperiodic CSI reporting can be triggered.</w:t>
      </w:r>
    </w:p>
    <w:p w14:paraId="7D8588B5">
      <w:pPr>
        <w:pStyle w:val="34"/>
        <w:numPr>
          <w:ilvl w:val="0"/>
          <w:numId w:val="10"/>
        </w:numPr>
        <w:tabs>
          <w:tab w:val="left" w:pos="1701"/>
        </w:tabs>
        <w:spacing w:before="240" w:after="240" w:line="240" w:lineRule="auto"/>
        <w:ind w:left="1134" w:hanging="1134"/>
        <w:rPr>
          <w:rFonts w:hint="eastAsia"/>
          <w:highlight w:val="none"/>
          <w:lang w:eastAsia="zh-CN"/>
        </w:rPr>
      </w:pPr>
      <w:r>
        <w:rPr>
          <w:rFonts w:hint="eastAsia"/>
          <w:i/>
          <w:iCs/>
          <w:sz w:val="22"/>
          <w:szCs w:val="22"/>
          <w:highlight w:val="none"/>
          <w:lang w:val="en-US" w:eastAsia="zh-CN"/>
        </w:rPr>
        <w:t xml:space="preserve">: For early </w:t>
      </w:r>
      <w:r>
        <w:rPr>
          <w:rFonts w:hint="eastAsia"/>
          <w:highlight w:val="none"/>
          <w:lang w:eastAsia="zh-CN"/>
        </w:rPr>
        <w:t>CSI reporting triggering</w:t>
      </w:r>
      <w:r>
        <w:rPr>
          <w:rFonts w:hint="eastAsia"/>
          <w:i/>
          <w:iCs/>
          <w:sz w:val="22"/>
          <w:szCs w:val="22"/>
          <w:highlight w:val="none"/>
          <w:lang w:val="en-US" w:eastAsia="zh-CN"/>
        </w:rPr>
        <w:t xml:space="preserve">, the specific </w:t>
      </w:r>
      <w:r>
        <w:rPr>
          <w:rFonts w:hint="eastAsia"/>
          <w:highlight w:val="none"/>
          <w:lang w:val="en-US" w:eastAsia="zh-CN"/>
        </w:rPr>
        <w:t xml:space="preserve">aperiodic trigger state can be configured for SCell. </w:t>
      </w:r>
    </w:p>
    <w:p w14:paraId="5DFEE432">
      <w:pPr>
        <w:pStyle w:val="34"/>
        <w:numPr>
          <w:ilvl w:val="0"/>
          <w:numId w:val="10"/>
        </w:numPr>
        <w:tabs>
          <w:tab w:val="left" w:pos="1701"/>
        </w:tabs>
        <w:spacing w:before="240" w:after="240" w:line="240" w:lineRule="auto"/>
        <w:ind w:left="1134" w:hanging="1134"/>
        <w:rPr>
          <w:rFonts w:hint="eastAsia"/>
          <w:highlight w:val="none"/>
          <w:lang w:eastAsia="zh-CN"/>
        </w:rPr>
      </w:pPr>
      <w:r>
        <w:rPr>
          <w:rFonts w:hint="eastAsia"/>
          <w:i/>
          <w:iCs/>
          <w:sz w:val="22"/>
          <w:szCs w:val="22"/>
          <w:highlight w:val="none"/>
          <w:lang w:eastAsia="zh-CN"/>
        </w:rPr>
        <w:t xml:space="preserve">: </w:t>
      </w:r>
      <w:r>
        <w:rPr>
          <w:rFonts w:hint="eastAsia"/>
          <w:highlight w:val="none"/>
          <w:lang w:eastAsia="zh-CN"/>
        </w:rPr>
        <w:t xml:space="preserve">For </w:t>
      </w:r>
      <w:r>
        <w:rPr>
          <w:rFonts w:hint="eastAsia" w:ascii="Times New Roman" w:hAnsi="Times New Roman" w:eastAsia="宋体" w:cs="Times New Roman"/>
          <w:b/>
          <w:bCs/>
          <w:i/>
          <w:iCs/>
          <w:sz w:val="22"/>
          <w:szCs w:val="22"/>
          <w:highlight w:val="none"/>
          <w:lang w:val="en-US" w:eastAsia="zh-CN" w:bidi="ar-SA"/>
        </w:rPr>
        <w:t xml:space="preserve">early </w:t>
      </w:r>
      <w:r>
        <w:rPr>
          <w:rFonts w:hint="eastAsia"/>
          <w:highlight w:val="none"/>
          <w:lang w:eastAsia="zh-CN"/>
        </w:rPr>
        <w:t>CSI reporting triggering, a CSI-Request field can be added to the SCell activation command to trigger aperiodic SRS measurement.</w:t>
      </w:r>
    </w:p>
    <w:p w14:paraId="1CC439BF">
      <w:pPr>
        <w:pStyle w:val="3"/>
        <w:rPr>
          <w:highlight w:val="none"/>
          <w:lang w:eastAsia="zh-CN"/>
        </w:rPr>
      </w:pPr>
      <w:r>
        <w:rPr>
          <w:rFonts w:hint="eastAsia"/>
          <w:szCs w:val="22"/>
          <w:highlight w:val="none"/>
          <w:lang w:val="en-US" w:eastAsia="zh-CN"/>
        </w:rPr>
        <w:t>Frequency domain density sparsity design of CSI-RS for larger antenna ports</w:t>
      </w:r>
      <w:r>
        <w:rPr>
          <w:szCs w:val="22"/>
          <w:highlight w:val="none"/>
        </w:rPr>
        <w:t xml:space="preserve"> </w:t>
      </w:r>
    </w:p>
    <w:p w14:paraId="41371C06">
      <w:pPr>
        <w:rPr>
          <w:highlight w:val="none"/>
          <w:lang w:eastAsia="zh-CN"/>
        </w:rPr>
      </w:pPr>
    </w:p>
    <w:bookmarkEnd w:id="3"/>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702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14:paraId="4C8E5E7B">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
                <w:color w:val="auto"/>
                <w:szCs w:val="20"/>
                <w:highlight w:val="green"/>
              </w:rPr>
            </w:pPr>
            <w:bookmarkStart w:id="4" w:name="_Ref129681832"/>
            <w:r>
              <w:rPr>
                <w:rFonts w:hint="eastAsia" w:ascii="Times New Roman" w:hAnsi="Times New Roman" w:eastAsia="宋体"/>
                <w:b/>
                <w:color w:val="auto"/>
                <w:szCs w:val="20"/>
                <w:highlight w:val="green"/>
              </w:rPr>
              <w:t xml:space="preserve">Agreement: </w:t>
            </w:r>
          </w:p>
          <w:p w14:paraId="1FEA90F4">
            <w:pPr>
              <w:keepNext w:val="0"/>
              <w:keepLines w:val="0"/>
              <w:widowControl w:val="0"/>
              <w:suppressLineNumbers w:val="0"/>
              <w:snapToGrid w:val="0"/>
              <w:spacing w:before="0" w:beforeAutospacing="0" w:afterAutospacing="0"/>
              <w:ind w:left="0" w:right="0"/>
              <w:jc w:val="both"/>
              <w:rPr>
                <w:rFonts w:hint="eastAsia" w:ascii="Times New Roman" w:hAnsi="Times New Roman"/>
                <w:bCs/>
                <w:szCs w:val="20"/>
                <w:highlight w:val="none"/>
              </w:rPr>
            </w:pPr>
            <w:r>
              <w:rPr>
                <w:rFonts w:hint="eastAsia" w:ascii="Times New Roman" w:hAnsi="Times New Roman" w:eastAsia="宋体"/>
                <w:bCs/>
                <w:szCs w:val="20"/>
                <w:highlight w:val="none"/>
              </w:rPr>
              <w:t>CSI-RS frequency-domain density ρ = 1/4 can be configured to the K NZP CSI-RS resou</w:t>
            </w:r>
            <w:r>
              <w:rPr>
                <w:rFonts w:hint="eastAsia" w:ascii="Times New Roman" w:hAnsi="Times New Roman"/>
                <w:szCs w:val="20"/>
                <w:highlight w:val="none"/>
              </w:rPr>
              <w:t>rces at least f</w:t>
            </w:r>
            <w:r>
              <w:rPr>
                <w:rFonts w:hint="eastAsia" w:ascii="Times New Roman" w:hAnsi="Times New Roman" w:eastAsia="宋体"/>
                <w:bCs/>
                <w:szCs w:val="20"/>
                <w:highlight w:val="none"/>
              </w:rPr>
              <w:t>or the following cases:</w:t>
            </w:r>
          </w:p>
          <w:p w14:paraId="3BFEB8B6">
            <w:pPr>
              <w:pStyle w:val="45"/>
              <w:keepNext w:val="0"/>
              <w:keepLines w:val="0"/>
              <w:widowControl w:val="0"/>
              <w:numPr>
                <w:ilvl w:val="1"/>
                <w:numId w:val="14"/>
              </w:numPr>
              <w:suppressLineNumbers w:val="0"/>
              <w:spacing w:before="0" w:beforeAutospacing="0" w:afterAutospacing="0"/>
              <w:ind w:leftChars="0" w:right="0"/>
              <w:contextualSpacing/>
              <w:jc w:val="both"/>
              <w:rPr>
                <w:rFonts w:hint="eastAsia" w:ascii="Times New Roman" w:hAnsi="Times New Roman"/>
                <w:szCs w:val="20"/>
                <w:highlight w:val="none"/>
              </w:rPr>
            </w:pPr>
            <w:r>
              <w:rPr>
                <w:rFonts w:hint="eastAsia" w:ascii="Times New Roman" w:hAnsi="Times New Roman"/>
                <w:szCs w:val="20"/>
                <w:highlight w:val="none"/>
              </w:rPr>
              <w:t>K=2 24-port NZP CSI-RS resources in a CSI-RS resource set aggregating 48 CSI-RS ports</w:t>
            </w:r>
          </w:p>
          <w:p w14:paraId="748EA0EF">
            <w:pPr>
              <w:pStyle w:val="45"/>
              <w:keepNext w:val="0"/>
              <w:keepLines w:val="0"/>
              <w:widowControl w:val="0"/>
              <w:numPr>
                <w:ilvl w:val="1"/>
                <w:numId w:val="14"/>
              </w:numPr>
              <w:suppressLineNumbers w:val="0"/>
              <w:spacing w:before="0" w:beforeAutospacing="0" w:afterAutospacing="0"/>
              <w:ind w:leftChars="0" w:right="0"/>
              <w:contextualSpacing/>
              <w:jc w:val="both"/>
              <w:rPr>
                <w:rFonts w:hint="eastAsia" w:ascii="Times New Roman" w:hAnsi="Times New Roman"/>
                <w:szCs w:val="20"/>
                <w:highlight w:val="none"/>
              </w:rPr>
            </w:pPr>
            <w:r>
              <w:rPr>
                <w:rFonts w:hint="eastAsia" w:ascii="Times New Roman" w:hAnsi="Times New Roman"/>
                <w:szCs w:val="20"/>
                <w:highlight w:val="none"/>
              </w:rPr>
              <w:t>K=4 16-port NZP CSI-RS resources in a CSI-RS resource set aggregating 64 CSI-RS ports</w:t>
            </w:r>
          </w:p>
          <w:p w14:paraId="72CDA321">
            <w:pPr>
              <w:pStyle w:val="45"/>
              <w:keepNext w:val="0"/>
              <w:keepLines w:val="0"/>
              <w:widowControl w:val="0"/>
              <w:numPr>
                <w:ilvl w:val="1"/>
                <w:numId w:val="14"/>
              </w:numPr>
              <w:suppressLineNumbers w:val="0"/>
              <w:spacing w:before="0" w:beforeAutospacing="0" w:afterAutospacing="0"/>
              <w:ind w:leftChars="0" w:right="0"/>
              <w:contextualSpacing/>
              <w:jc w:val="both"/>
              <w:rPr>
                <w:rFonts w:hint="eastAsia" w:ascii="Times New Roman" w:hAnsi="Times New Roman"/>
                <w:szCs w:val="20"/>
                <w:highlight w:val="none"/>
              </w:rPr>
            </w:pPr>
            <w:r>
              <w:rPr>
                <w:rFonts w:hint="eastAsia" w:ascii="Times New Roman" w:hAnsi="Times New Roman"/>
                <w:szCs w:val="20"/>
                <w:highlight w:val="none"/>
              </w:rPr>
              <w:t>K=2 32-port NZP CSI-RS resources in a CSI-RS resource set aggregating 64 CSI-RS ports</w:t>
            </w:r>
          </w:p>
          <w:p w14:paraId="12EA2E2A">
            <w:pPr>
              <w:pStyle w:val="45"/>
              <w:keepNext w:val="0"/>
              <w:keepLines w:val="0"/>
              <w:widowControl w:val="0"/>
              <w:numPr>
                <w:ilvl w:val="1"/>
                <w:numId w:val="14"/>
              </w:numPr>
              <w:suppressLineNumbers w:val="0"/>
              <w:spacing w:before="0" w:beforeAutospacing="0" w:afterAutospacing="0"/>
              <w:ind w:leftChars="0" w:right="0"/>
              <w:contextualSpacing/>
              <w:jc w:val="both"/>
              <w:rPr>
                <w:rFonts w:hint="eastAsia" w:ascii="Times New Roman" w:hAnsi="Times New Roman"/>
                <w:color w:val="auto"/>
                <w:szCs w:val="20"/>
                <w:highlight w:val="none"/>
              </w:rPr>
            </w:pPr>
            <w:r>
              <w:rPr>
                <w:rFonts w:hint="eastAsia" w:ascii="Times New Roman" w:hAnsi="Times New Roman"/>
                <w:szCs w:val="20"/>
                <w:highlight w:val="none"/>
              </w:rPr>
              <w:t>K=4 32-port NZP CSI-RS resources in a CSI-RS resource set aggregating 128 CSI-RS ports</w:t>
            </w:r>
          </w:p>
          <w:p w14:paraId="3B2930B5">
            <w:pPr>
              <w:keepNext w:val="0"/>
              <w:keepLines w:val="0"/>
              <w:widowControl w:val="0"/>
              <w:suppressLineNumbers w:val="0"/>
              <w:spacing w:before="0" w:beforeAutospacing="0" w:afterAutospacing="0"/>
              <w:ind w:left="0" w:right="0"/>
              <w:jc w:val="both"/>
              <w:rPr>
                <w:rFonts w:hint="eastAsia" w:ascii="Times New Roman" w:hAnsi="Times New Roman" w:eastAsia="宋体"/>
                <w:color w:val="auto"/>
                <w:szCs w:val="20"/>
                <w:highlight w:val="none"/>
                <w:lang w:eastAsia="zh-CN"/>
              </w:rPr>
            </w:pPr>
            <w:r>
              <w:rPr>
                <w:rFonts w:hint="eastAsia" w:ascii="Times New Roman" w:hAnsi="Times New Roman"/>
                <w:color w:val="auto"/>
                <w:szCs w:val="20"/>
                <w:highlight w:val="none"/>
              </w:rPr>
              <w:t>FFS: K=3 16-port NZP CSI-RS resources in a CSI-RS resource set aggregating 48 CSI-RS ports</w:t>
            </w:r>
            <w:r>
              <w:rPr>
                <w:rFonts w:hint="eastAsia"/>
                <w:color w:val="auto"/>
                <w:szCs w:val="20"/>
                <w:highlight w:val="none"/>
                <w:lang w:val="en-US" w:eastAsia="zh-CN"/>
              </w:rPr>
              <w:t xml:space="preserve"> </w:t>
            </w:r>
          </w:p>
          <w:p w14:paraId="4DD25481">
            <w:pPr>
              <w:keepNext w:val="0"/>
              <w:keepLines w:val="0"/>
              <w:widowControl w:val="0"/>
              <w:suppressLineNumbers w:val="0"/>
              <w:spacing w:before="0" w:beforeAutospacing="0" w:afterAutospacing="0"/>
              <w:ind w:left="0" w:right="0"/>
              <w:jc w:val="both"/>
              <w:rPr>
                <w:rFonts w:hint="eastAsia" w:ascii="Times New Roman" w:hAnsi="Times New Roman"/>
                <w:color w:val="auto"/>
                <w:szCs w:val="20"/>
                <w:highlight w:val="none"/>
              </w:rPr>
            </w:pPr>
            <w:r>
              <w:rPr>
                <w:rFonts w:hint="eastAsia" w:ascii="Times New Roman" w:hAnsi="Times New Roman"/>
                <w:color w:val="auto"/>
                <w:szCs w:val="20"/>
                <w:highlight w:val="none"/>
              </w:rPr>
              <w:t>Note: It’s not precluded that the frequency-domain density configured to the K NZP CSI-RS resources in the same CSI-RS resource set for 48/64/128 CSI-RS ports aggregation can be different</w:t>
            </w:r>
          </w:p>
          <w:p w14:paraId="517E3FDC">
            <w:pPr>
              <w:keepNext w:val="0"/>
              <w:keepLines w:val="0"/>
              <w:widowControl w:val="0"/>
              <w:suppressLineNumbers w:val="0"/>
              <w:spacing w:before="0" w:beforeAutospacing="0" w:after="0" w:afterAutospacing="0"/>
              <w:ind w:left="0" w:right="0"/>
              <w:rPr>
                <w:rFonts w:hint="eastAsia"/>
                <w:color w:val="auto"/>
                <w:highlight w:val="none"/>
                <w:lang w:eastAsia="zh-CN"/>
              </w:rPr>
            </w:pPr>
          </w:p>
          <w:p w14:paraId="130FE49C">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
                <w:color w:val="auto"/>
                <w:szCs w:val="20"/>
                <w:highlight w:val="none"/>
              </w:rPr>
            </w:pPr>
            <w:r>
              <w:rPr>
                <w:rFonts w:hint="eastAsia" w:ascii="Times New Roman" w:hAnsi="Times New Roman" w:eastAsia="宋体"/>
                <w:b/>
                <w:color w:val="auto"/>
                <w:szCs w:val="20"/>
                <w:highlight w:val="green"/>
              </w:rPr>
              <w:t>Agreement:</w:t>
            </w:r>
            <w:r>
              <w:rPr>
                <w:rFonts w:hint="eastAsia" w:ascii="Times New Roman" w:hAnsi="Times New Roman" w:eastAsia="宋体"/>
                <w:b/>
                <w:color w:val="auto"/>
                <w:szCs w:val="20"/>
                <w:highlight w:val="none"/>
              </w:rPr>
              <w:t xml:space="preserve"> </w:t>
            </w:r>
            <w:bookmarkStart w:id="8" w:name="_GoBack"/>
            <w:bookmarkEnd w:id="8"/>
          </w:p>
          <w:p w14:paraId="7D4AF741">
            <w:pPr>
              <w:keepNext w:val="0"/>
              <w:keepLines w:val="0"/>
              <w:widowControl w:val="0"/>
              <w:suppressLineNumbers w:val="0"/>
              <w:snapToGrid w:val="0"/>
              <w:spacing w:before="0" w:beforeAutospacing="0" w:afterAutospacing="0"/>
              <w:ind w:left="0" w:right="0"/>
              <w:jc w:val="both"/>
              <w:rPr>
                <w:rFonts w:hint="eastAsia" w:ascii="Times New Roman" w:hAnsi="Times New Roman" w:eastAsia="宋体"/>
                <w:bCs/>
                <w:color w:val="auto"/>
                <w:szCs w:val="20"/>
                <w:highlight w:val="none"/>
              </w:rPr>
            </w:pPr>
            <w:r>
              <w:rPr>
                <w:rFonts w:hint="eastAsia" w:ascii="Times New Roman" w:hAnsi="Times New Roman" w:eastAsia="宋体"/>
                <w:bCs/>
                <w:color w:val="auto"/>
                <w:szCs w:val="20"/>
                <w:highlight w:val="none"/>
              </w:rPr>
              <w:t>CSI-RS frequency-domain density ρ = 1/3 and 1/6 can be configured to the K NZP CS</w:t>
            </w:r>
            <w:r>
              <w:rPr>
                <w:rFonts w:hint="eastAsia" w:ascii="Times New Roman" w:hAnsi="Times New Roman"/>
                <w:color w:val="auto"/>
                <w:szCs w:val="20"/>
                <w:highlight w:val="none"/>
              </w:rPr>
              <w:t>I-RS resources at least f</w:t>
            </w:r>
            <w:r>
              <w:rPr>
                <w:rFonts w:hint="eastAsia" w:ascii="Times New Roman" w:hAnsi="Times New Roman" w:eastAsia="宋体"/>
                <w:bCs/>
                <w:color w:val="auto"/>
                <w:szCs w:val="20"/>
                <w:highlight w:val="none"/>
              </w:rPr>
              <w:t>or the following cases:</w:t>
            </w:r>
          </w:p>
          <w:p w14:paraId="3BDE03E9">
            <w:pPr>
              <w:pStyle w:val="45"/>
              <w:keepNext w:val="0"/>
              <w:keepLines w:val="0"/>
              <w:widowControl w:val="0"/>
              <w:numPr>
                <w:ilvl w:val="1"/>
                <w:numId w:val="14"/>
              </w:numPr>
              <w:suppressLineNumbers w:val="0"/>
              <w:spacing w:before="0" w:beforeAutospacing="0" w:afterAutospacing="0"/>
              <w:ind w:leftChars="0" w:right="0"/>
              <w:contextualSpacing/>
              <w:jc w:val="both"/>
              <w:rPr>
                <w:rFonts w:hint="eastAsia" w:ascii="Times New Roman" w:hAnsi="Times New Roman"/>
                <w:color w:val="auto"/>
                <w:szCs w:val="20"/>
                <w:highlight w:val="none"/>
              </w:rPr>
            </w:pPr>
            <w:r>
              <w:rPr>
                <w:rFonts w:hint="eastAsia" w:ascii="Times New Roman" w:hAnsi="Times New Roman"/>
                <w:color w:val="auto"/>
                <w:szCs w:val="20"/>
                <w:highlight w:val="none"/>
              </w:rPr>
              <w:t>K=3 16-port NZP CSI-RS resources in a CSI-RS resource set aggregating 48 CSI-RS ports</w:t>
            </w:r>
          </w:p>
          <w:p w14:paraId="4D3D1564">
            <w:pPr>
              <w:keepNext w:val="0"/>
              <w:keepLines w:val="0"/>
              <w:widowControl w:val="0"/>
              <w:suppressLineNumbers w:val="0"/>
              <w:spacing w:before="0" w:beforeAutospacing="0" w:afterAutospacing="0"/>
              <w:ind w:left="0" w:right="0"/>
              <w:jc w:val="both"/>
              <w:rPr>
                <w:rFonts w:hint="eastAsia" w:ascii="Times New Roman" w:hAnsi="Times New Roman" w:eastAsia="宋体"/>
                <w:color w:val="auto"/>
                <w:szCs w:val="20"/>
                <w:highlight w:val="none"/>
                <w:lang w:eastAsia="zh-CN"/>
              </w:rPr>
            </w:pPr>
            <w:r>
              <w:rPr>
                <w:rFonts w:hint="eastAsia" w:ascii="Times New Roman" w:hAnsi="Times New Roman"/>
                <w:color w:val="auto"/>
                <w:szCs w:val="20"/>
                <w:highlight w:val="none"/>
              </w:rPr>
              <w:t>FFS: K=2 24-port NZP CSI-RS resources in a CSI-RS resource set aggregating 48 CSI-RS ports</w:t>
            </w:r>
            <w:r>
              <w:rPr>
                <w:rFonts w:hint="eastAsia"/>
                <w:color w:val="auto"/>
                <w:szCs w:val="20"/>
                <w:highlight w:val="none"/>
                <w:lang w:val="en-US" w:eastAsia="zh-CN"/>
              </w:rPr>
              <w:t xml:space="preserve"> </w:t>
            </w:r>
          </w:p>
          <w:p w14:paraId="7D8BDED4">
            <w:pPr>
              <w:keepNext w:val="0"/>
              <w:keepLines w:val="0"/>
              <w:widowControl w:val="0"/>
              <w:suppressLineNumbers w:val="0"/>
              <w:spacing w:before="0" w:beforeAutospacing="0" w:afterAutospacing="0"/>
              <w:ind w:left="0" w:right="0"/>
              <w:jc w:val="both"/>
              <w:rPr>
                <w:rFonts w:hint="eastAsia"/>
                <w:color w:val="auto"/>
                <w:highlight w:val="none"/>
                <w:lang w:eastAsia="zh-CN"/>
              </w:rPr>
            </w:pPr>
            <w:r>
              <w:rPr>
                <w:rFonts w:hint="eastAsia" w:ascii="Times New Roman" w:hAnsi="Times New Roman"/>
                <w:color w:val="auto"/>
                <w:szCs w:val="20"/>
                <w:highlight w:val="none"/>
              </w:rPr>
              <w:t>Note: It’s not precluded that the frequency-domain density configured to the K NZP CSI-RS resources in the same CSI-RS resource set for 48 CSI-RS ports aggregation can be different</w:t>
            </w:r>
          </w:p>
          <w:p w14:paraId="4D4720E0">
            <w:pPr>
              <w:keepNext w:val="0"/>
              <w:keepLines w:val="0"/>
              <w:widowControl w:val="0"/>
              <w:suppressLineNumbers w:val="0"/>
              <w:spacing w:before="0" w:beforeAutospacing="0" w:after="0" w:afterAutospacing="0"/>
              <w:ind w:left="0" w:right="0"/>
              <w:rPr>
                <w:rFonts w:hint="eastAsia"/>
                <w:highlight w:val="none"/>
                <w:lang w:eastAsia="zh-CN"/>
              </w:rPr>
            </w:pPr>
          </w:p>
        </w:tc>
      </w:tr>
    </w:tbl>
    <w:p w14:paraId="67C0112A">
      <w:pPr>
        <w:pStyle w:val="21"/>
        <w:keepNext w:val="0"/>
        <w:keepLines w:val="0"/>
        <w:widowControl/>
        <w:suppressLineNumbers w:val="0"/>
        <w:pBdr>
          <w:top w:val="single" w:color="E5E7EB" w:sz="2" w:space="0"/>
          <w:left w:val="single" w:color="E5E7EB" w:sz="2" w:space="0"/>
          <w:bottom w:val="single" w:color="E5E7EB" w:sz="2" w:space="0"/>
          <w:right w:val="single" w:color="E5E7EB" w:sz="2" w:space="0"/>
        </w:pBdr>
        <w:spacing w:before="0" w:beforeAutospacing="0"/>
        <w:ind w:left="0" w:right="0" w:firstLine="0"/>
        <w:jc w:val="both"/>
        <w:rPr>
          <w:rFonts w:hint="default" w:ascii="Times New Roman" w:hAnsi="Times New Roman" w:eastAsia="宋体" w:cs="Times New Roman"/>
          <w:b w:val="0"/>
          <w:bCs w:val="0"/>
          <w:sz w:val="22"/>
          <w:szCs w:val="22"/>
          <w:highlight w:val="none"/>
          <w:lang w:val="en-US" w:eastAsia="zh-CN" w:bidi="ar-SA"/>
        </w:rPr>
      </w:pPr>
      <w:r>
        <w:rPr>
          <w:rFonts w:hint="default" w:ascii="Times New Roman" w:hAnsi="Times New Roman" w:eastAsia="宋体" w:cs="Times New Roman"/>
          <w:b w:val="0"/>
          <w:bCs w:val="0"/>
          <w:sz w:val="22"/>
          <w:szCs w:val="22"/>
          <w:highlight w:val="none"/>
          <w:lang w:val="en-US" w:eastAsia="zh-CN" w:bidi="ar-SA"/>
        </w:rPr>
        <w:t>As elaborated in the first agreement, for CSI-RS frequency-domain density ρ = 1/4, the case of 16-port NZP CSI-RS resources in a CSI-RS resource set aggregating 48 CSI-RS ports is still und</w:t>
      </w:r>
      <w:r>
        <w:rPr>
          <w:rFonts w:hint="default" w:ascii="Times New Roman" w:hAnsi="Times New Roman" w:eastAsia="宋体" w:cs="Times New Roman"/>
          <w:b w:val="0"/>
          <w:bCs w:val="0"/>
          <w:sz w:val="22"/>
          <w:szCs w:val="22"/>
          <w:highlight w:val="none"/>
          <w:lang w:val="en-US" w:eastAsia="zh-CN" w:bidi="ar-SA"/>
        </w:rPr>
        <w:t xml:space="preserve">er discussion for further study. In our opinion, such a case would lead to a reduction in capacity of the cell. Figure 1 </w:t>
      </w:r>
      <w:r>
        <w:rPr>
          <w:rFonts w:hint="eastAsia" w:ascii="Times New Roman" w:hAnsi="Times New Roman" w:eastAsia="宋体" w:cs="Times New Roman"/>
          <w:b w:val="0"/>
          <w:bCs w:val="0"/>
          <w:sz w:val="22"/>
          <w:szCs w:val="22"/>
          <w:highlight w:val="none"/>
          <w:lang w:val="en-US" w:eastAsia="zh-CN" w:bidi="ar-SA"/>
        </w:rPr>
        <w:t xml:space="preserve">shows </w:t>
      </w:r>
      <w:r>
        <w:rPr>
          <w:rFonts w:hint="default" w:ascii="Times New Roman" w:hAnsi="Times New Roman" w:eastAsia="宋体" w:cs="Times New Roman"/>
          <w:b w:val="0"/>
          <w:bCs w:val="0"/>
          <w:sz w:val="22"/>
          <w:szCs w:val="22"/>
          <w:highlight w:val="none"/>
          <w:lang w:val="en-US" w:eastAsia="zh-CN" w:bidi="ar-SA"/>
        </w:rPr>
        <w:t xml:space="preserve">K=3 and 16-port NZP CSI-RS resources in a CSI-RS resource set aggregating 48 CSI-RS ports mapped within 8 RBs. In this case, CSI-RS#1, CSI-RS#2, and CSI-RS#3 are mapped into the 1st and 5th RBs. </w:t>
      </w:r>
      <w:r>
        <w:rPr>
          <w:rFonts w:hint="default" w:ascii="Times New Roman" w:hAnsi="Times New Roman" w:eastAsia="宋体" w:cs="Times New Roman"/>
          <w:b w:val="0"/>
          <w:bCs w:val="0"/>
          <w:sz w:val="22"/>
          <w:szCs w:val="22"/>
          <w:highlight w:val="none"/>
          <w:lang w:val="en-US" w:eastAsia="zh-CN" w:bidi="ar-SA"/>
        </w:rPr>
        <w:t>For legacy UEs, three ZP-CSI-RS resources with 16 ports and a density of 0.5 should be mapped into the 1st, 3rd, 5th, and 7th RBs for rate matching. Clearly, for legacy UEs, there are no 16-port NZP CSI-RS resources in a CSI-RS resource set aggregating 48 CSI-RS ports mapped into the 3rd and 7th RBs, which would reduce the available RE resources for legacy UEs.</w:t>
      </w:r>
    </w:p>
    <w:p w14:paraId="1E0BAC58">
      <w:pPr>
        <w:pStyle w:val="21"/>
        <w:keepNext w:val="0"/>
        <w:keepLines w:val="0"/>
        <w:widowControl/>
        <w:suppressLineNumbers w:val="0"/>
        <w:pBdr>
          <w:top w:val="single" w:color="E5E7EB" w:sz="2" w:space="0"/>
          <w:left w:val="single" w:color="E5E7EB" w:sz="2" w:space="0"/>
          <w:bottom w:val="single" w:color="E5E7EB" w:sz="2" w:space="0"/>
          <w:right w:val="single" w:color="E5E7EB" w:sz="2" w:space="0"/>
        </w:pBdr>
        <w:spacing w:before="0" w:beforeAutospacing="0"/>
        <w:ind w:left="0" w:right="0" w:firstLine="0"/>
        <w:jc w:val="both"/>
        <w:rPr>
          <w:rFonts w:hint="default" w:ascii="Times New Roman" w:hAnsi="Times New Roman" w:eastAsia="宋体" w:cs="Times New Roman"/>
          <w:b w:val="0"/>
          <w:bCs w:val="0"/>
          <w:sz w:val="22"/>
          <w:szCs w:val="22"/>
          <w:highlight w:val="none"/>
          <w:lang w:val="en-US" w:eastAsia="zh-CN" w:bidi="ar-SA"/>
        </w:rPr>
      </w:pPr>
      <w:r>
        <w:rPr>
          <w:rFonts w:hint="default" w:ascii="Times New Roman" w:hAnsi="Times New Roman" w:eastAsia="宋体" w:cs="Times New Roman"/>
          <w:b w:val="0"/>
          <w:bCs w:val="0"/>
          <w:sz w:val="22"/>
          <w:szCs w:val="22"/>
          <w:highlight w:val="none"/>
          <w:lang w:val="en-US" w:eastAsia="zh-CN" w:bidi="ar-SA"/>
        </w:rPr>
        <w:t>Another example is shown in Figure 2, where CSI-RS#1, CSI-RS#2, and CSI-RS#3 are mapped into the 1st, 2nd, 3rd, 5th, 6th, and 7th RBs, respectively. One ZP-CSI-RS resource with 16 ports and a density of 1 should be mapped into all RBs. Similarly, there are no 16-port NZP CSI-RS resources in a CSI-RS resource set aggregating 48 CSI-RS ports mapped into the 4th and 8th RBs, which would also reduce the available RE resources for legacy UEs.</w:t>
      </w:r>
    </w:p>
    <w:p w14:paraId="4B4943C3">
      <w:pPr>
        <w:pStyle w:val="34"/>
        <w:numPr>
          <w:ilvl w:val="0"/>
          <w:numId w:val="0"/>
        </w:numPr>
        <w:tabs>
          <w:tab w:val="left" w:pos="1701"/>
        </w:tabs>
        <w:spacing w:before="240" w:after="240" w:line="240" w:lineRule="auto"/>
        <w:ind w:leftChars="0"/>
        <w:jc w:val="center"/>
        <w:rPr>
          <w:highlight w:val="none"/>
        </w:rPr>
      </w:pPr>
      <w:r>
        <w:rPr>
          <w:highlight w:val="none"/>
        </w:rPr>
        <w:drawing>
          <wp:inline distT="0" distB="0" distL="114300" distR="114300">
            <wp:extent cx="3498850" cy="2640965"/>
            <wp:effectExtent l="0" t="0" r="635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3498850" cy="2640965"/>
                    </a:xfrm>
                    <a:prstGeom prst="rect">
                      <a:avLst/>
                    </a:prstGeom>
                    <a:noFill/>
                    <a:ln>
                      <a:noFill/>
                    </a:ln>
                  </pic:spPr>
                </pic:pic>
              </a:graphicData>
            </a:graphic>
          </wp:inline>
        </w:drawing>
      </w:r>
    </w:p>
    <w:p w14:paraId="09A6E311">
      <w:pPr>
        <w:pStyle w:val="34"/>
        <w:numPr>
          <w:ilvl w:val="0"/>
          <w:numId w:val="0"/>
        </w:numPr>
        <w:tabs>
          <w:tab w:val="left" w:pos="1701"/>
        </w:tabs>
        <w:spacing w:before="240" w:after="240" w:line="240" w:lineRule="auto"/>
        <w:ind w:leftChars="0"/>
        <w:jc w:val="center"/>
        <w:rPr>
          <w:b w:val="0"/>
          <w:bCs w:val="0"/>
          <w:highlight w:val="none"/>
        </w:rPr>
      </w:pPr>
      <w:r>
        <w:rPr>
          <w:rFonts w:hint="eastAsia"/>
          <w:b w:val="0"/>
          <w:bCs w:val="0"/>
          <w:sz w:val="22"/>
          <w:szCs w:val="22"/>
          <w:highlight w:val="none"/>
          <w:lang w:val="en-US" w:eastAsia="zh-CN"/>
        </w:rPr>
        <w:t xml:space="preserve">Figure 1. 48 CSI-RS ports (K=3) with </w:t>
      </w:r>
      <w:r>
        <w:rPr>
          <w:rFonts w:ascii="Times New Roman" w:hAnsi="Times New Roman" w:eastAsia="宋体" w:cs="Times New Roman"/>
          <w:b w:val="0"/>
          <w:bCs w:val="0"/>
          <w:kern w:val="0"/>
          <w:sz w:val="22"/>
          <w:szCs w:val="22"/>
          <w:highlight w:val="none"/>
          <w:lang w:val="en-GB" w:eastAsia="en-US"/>
        </w:rPr>
        <w:t>density ρ = 1/4</w:t>
      </w:r>
      <w:r>
        <w:rPr>
          <w:rFonts w:hint="eastAsia"/>
          <w:b w:val="0"/>
          <w:bCs w:val="0"/>
          <w:sz w:val="22"/>
          <w:szCs w:val="22"/>
          <w:highlight w:val="none"/>
          <w:lang w:val="en-US" w:eastAsia="zh-CN"/>
        </w:rPr>
        <w:t xml:space="preserve"> and rate matching pattern #1</w:t>
      </w:r>
    </w:p>
    <w:p w14:paraId="43A13065">
      <w:pPr>
        <w:pStyle w:val="34"/>
        <w:numPr>
          <w:ilvl w:val="0"/>
          <w:numId w:val="0"/>
        </w:numPr>
        <w:tabs>
          <w:tab w:val="left" w:pos="1701"/>
        </w:tabs>
        <w:spacing w:before="240" w:after="240" w:line="240" w:lineRule="auto"/>
        <w:ind w:leftChars="0"/>
        <w:jc w:val="center"/>
        <w:rPr>
          <w:rFonts w:hint="eastAsia"/>
          <w:b w:val="0"/>
          <w:bCs w:val="0"/>
          <w:sz w:val="22"/>
          <w:szCs w:val="22"/>
          <w:highlight w:val="none"/>
          <w:lang w:val="en-US" w:eastAsia="zh-CN"/>
        </w:rPr>
      </w:pPr>
      <w:r>
        <w:rPr>
          <w:highlight w:val="none"/>
        </w:rPr>
        <w:drawing>
          <wp:inline distT="0" distB="0" distL="114300" distR="114300">
            <wp:extent cx="3637915" cy="2659380"/>
            <wp:effectExtent l="0" t="0" r="444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3637915" cy="2659380"/>
                    </a:xfrm>
                    <a:prstGeom prst="rect">
                      <a:avLst/>
                    </a:prstGeom>
                    <a:noFill/>
                    <a:ln>
                      <a:noFill/>
                    </a:ln>
                  </pic:spPr>
                </pic:pic>
              </a:graphicData>
            </a:graphic>
          </wp:inline>
        </w:drawing>
      </w:r>
      <w:r>
        <w:rPr>
          <w:highlight w:val="none"/>
        </w:rPr>
        <w:br w:type="textWrapping"/>
      </w:r>
      <w:r>
        <w:rPr>
          <w:rFonts w:hint="eastAsia"/>
          <w:b w:val="0"/>
          <w:bCs w:val="0"/>
          <w:sz w:val="22"/>
          <w:szCs w:val="22"/>
          <w:highlight w:val="none"/>
          <w:lang w:val="en-US" w:eastAsia="zh-CN"/>
        </w:rPr>
        <w:t xml:space="preserve">Figure 2. 48 CSI-RS ports (K=3) with </w:t>
      </w:r>
      <w:r>
        <w:rPr>
          <w:rFonts w:ascii="Times New Roman" w:hAnsi="Times New Roman" w:eastAsia="宋体" w:cs="Times New Roman"/>
          <w:b w:val="0"/>
          <w:bCs w:val="0"/>
          <w:kern w:val="0"/>
          <w:sz w:val="22"/>
          <w:szCs w:val="22"/>
          <w:highlight w:val="none"/>
          <w:lang w:val="en-GB" w:eastAsia="en-US"/>
        </w:rPr>
        <w:t>density ρ = 1/4</w:t>
      </w:r>
      <w:r>
        <w:rPr>
          <w:rFonts w:hint="eastAsia"/>
          <w:b w:val="0"/>
          <w:bCs w:val="0"/>
          <w:sz w:val="22"/>
          <w:szCs w:val="22"/>
          <w:highlight w:val="none"/>
          <w:lang w:val="en-US" w:eastAsia="zh-CN"/>
        </w:rPr>
        <w:t xml:space="preserve"> and rate matching pattern #2</w:t>
      </w:r>
    </w:p>
    <w:p w14:paraId="1D13F571">
      <w:pPr>
        <w:pStyle w:val="34"/>
        <w:numPr>
          <w:ilvl w:val="0"/>
          <w:numId w:val="0"/>
        </w:numPr>
        <w:tabs>
          <w:tab w:val="left" w:pos="1701"/>
        </w:tabs>
        <w:spacing w:before="240" w:after="240" w:line="240" w:lineRule="auto"/>
        <w:jc w:val="both"/>
        <w:rPr>
          <w:rFonts w:hint="default" w:cs="Times New Roman"/>
          <w:b w:val="0"/>
          <w:bCs w:val="0"/>
          <w:i w:val="0"/>
          <w:iCs w:val="0"/>
          <w:sz w:val="22"/>
          <w:szCs w:val="22"/>
          <w:highlight w:val="none"/>
          <w:lang w:val="en-US" w:eastAsia="zh-CN"/>
        </w:rPr>
      </w:pPr>
      <w:r>
        <w:rPr>
          <w:rFonts w:hint="eastAsia"/>
          <w:b w:val="0"/>
          <w:bCs w:val="0"/>
          <w:sz w:val="22"/>
          <w:szCs w:val="22"/>
          <w:highlight w:val="none"/>
          <w:lang w:val="en-US" w:eastAsia="zh-CN"/>
        </w:rPr>
        <w:t xml:space="preserve">Based on the above analysis, we believe that for legacy UEs, when the frequency-domain density ρ = 1/4, supporting K=3 16-port NZP CSI-RS resources in a CSI-RS resource set aggregating 48 CSI-RS ports is unfriendly for rate matching, as it reduces the available REs. Therefore, for CSI-RS frequency-domain density ρ = 1/4, we do not support K=3 16-port NZP CSI-RS resources in a CSI-RS resource set aggregating 48 CSI-RS ports. Furthermore, for CSI-RS frequency-domain density ρ = 1/8, we also do not support K=3 16-port NZP CSI-RS resources in a CSI-RS resource set aggregating 48 CSI-RS ports. </w:t>
      </w:r>
    </w:p>
    <w:p w14:paraId="531B885A">
      <w:pPr>
        <w:pStyle w:val="34"/>
        <w:numPr>
          <w:ilvl w:val="0"/>
          <w:numId w:val="10"/>
        </w:numPr>
        <w:tabs>
          <w:tab w:val="left" w:pos="1701"/>
        </w:tabs>
        <w:spacing w:before="240" w:after="240" w:line="240" w:lineRule="auto"/>
        <w:ind w:left="1134" w:hanging="1134"/>
        <w:rPr>
          <w:rFonts w:hint="default"/>
          <w:b/>
          <w:bCs/>
          <w:szCs w:val="20"/>
          <w:highlight w:val="none"/>
          <w:lang w:val="en-US" w:eastAsia="zh-CN"/>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1/4</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default" w:ascii="Times New Roman" w:hAnsi="Times New Roman" w:cs="Times New Roman"/>
          <w:b/>
          <w:bCs/>
          <w:i/>
          <w:iCs/>
          <w:sz w:val="22"/>
          <w:szCs w:val="22"/>
          <w:highlight w:val="none"/>
          <w:lang w:val="en-US" w:eastAsia="zh-CN"/>
        </w:rPr>
        <w:t>3</w:t>
      </w:r>
      <w:r>
        <w:rPr>
          <w:rFonts w:hint="default" w:ascii="Times New Roman" w:hAnsi="Times New Roman" w:cs="Times New Roman"/>
          <w:b/>
          <w:bCs/>
          <w:i/>
          <w:iCs/>
          <w:sz w:val="22"/>
          <w:szCs w:val="22"/>
          <w:highlight w:val="none"/>
        </w:rPr>
        <w:t xml:space="preserve"> </w:t>
      </w:r>
      <w:r>
        <w:rPr>
          <w:rFonts w:hint="default" w:ascii="Times New Roman" w:hAnsi="Times New Roman" w:cs="Times New Roman"/>
          <w:b/>
          <w:bCs/>
          <w:i/>
          <w:iCs/>
          <w:sz w:val="22"/>
          <w:szCs w:val="22"/>
          <w:highlight w:val="none"/>
          <w:lang w:val="en-US" w:eastAsia="zh-CN"/>
        </w:rPr>
        <w:t>16</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28C078FF">
      <w:pPr>
        <w:pStyle w:val="34"/>
        <w:numPr>
          <w:ilvl w:val="0"/>
          <w:numId w:val="10"/>
        </w:numPr>
        <w:tabs>
          <w:tab w:val="left" w:pos="1701"/>
        </w:tabs>
        <w:spacing w:before="240" w:after="240" w:line="240" w:lineRule="auto"/>
        <w:ind w:left="1134" w:hanging="1134"/>
        <w:rPr>
          <w:rFonts w:hint="eastAsia"/>
          <w:b/>
          <w:bCs/>
          <w:sz w:val="22"/>
          <w:szCs w:val="22"/>
          <w:highlight w:val="none"/>
          <w:lang w:val="en-US" w:eastAsia="zh-CN"/>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8</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default" w:ascii="Times New Roman" w:hAnsi="Times New Roman" w:cs="Times New Roman"/>
          <w:b/>
          <w:bCs/>
          <w:i/>
          <w:iCs/>
          <w:sz w:val="22"/>
          <w:szCs w:val="22"/>
          <w:highlight w:val="none"/>
          <w:lang w:val="en-US" w:eastAsia="zh-CN"/>
        </w:rPr>
        <w:t>3</w:t>
      </w:r>
      <w:r>
        <w:rPr>
          <w:rFonts w:hint="default" w:ascii="Times New Roman" w:hAnsi="Times New Roman" w:cs="Times New Roman"/>
          <w:b/>
          <w:bCs/>
          <w:i/>
          <w:iCs/>
          <w:sz w:val="22"/>
          <w:szCs w:val="22"/>
          <w:highlight w:val="none"/>
        </w:rPr>
        <w:t xml:space="preserve"> </w:t>
      </w:r>
      <w:r>
        <w:rPr>
          <w:rFonts w:hint="default" w:ascii="Times New Roman" w:hAnsi="Times New Roman" w:cs="Times New Roman"/>
          <w:b/>
          <w:bCs/>
          <w:i/>
          <w:iCs/>
          <w:sz w:val="22"/>
          <w:szCs w:val="22"/>
          <w:highlight w:val="none"/>
          <w:lang w:val="en-US" w:eastAsia="zh-CN"/>
        </w:rPr>
        <w:t>16</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1E727241">
      <w:pPr>
        <w:pStyle w:val="34"/>
        <w:numPr>
          <w:ilvl w:val="0"/>
          <w:numId w:val="0"/>
        </w:numPr>
        <w:tabs>
          <w:tab w:val="left" w:pos="1701"/>
        </w:tabs>
        <w:spacing w:before="240" w:after="240" w:line="240" w:lineRule="auto"/>
        <w:ind w:leftChars="0"/>
        <w:jc w:val="both"/>
        <w:rPr>
          <w:rFonts w:hint="eastAsia"/>
          <w:b w:val="0"/>
          <w:bCs w:val="0"/>
          <w:sz w:val="22"/>
          <w:szCs w:val="22"/>
          <w:highlight w:val="none"/>
          <w:lang w:val="en-US" w:eastAsia="zh-CN"/>
        </w:rPr>
      </w:pPr>
      <w:r>
        <w:rPr>
          <w:rFonts w:hint="eastAsia"/>
          <w:b w:val="0"/>
          <w:bCs w:val="0"/>
          <w:sz w:val="22"/>
          <w:szCs w:val="22"/>
          <w:highlight w:val="none"/>
          <w:lang w:val="en-US" w:eastAsia="zh-CN"/>
        </w:rPr>
        <w:t>Similarly, regarding CSI-RS frequency-domain densitiesρ=1/3 and 1/6, the case of 24-port NZP CSI-RS resources in a CSI-RS resource set aggregating 48 CSI-RS ports would also lead to a reduction in the available RE resources for legacy UEs. As shown in Figure 3 and Figure 4, there are no NZP CSI-RS resources in the RBs marked with red boxes for 24-port NZP CSI-RS resources in a CSI-RS resource set aggregating 48 CSI-RS ports. However, ZP-CSI-RS must be configured for rate matching. The occupied resource elements can lead to a significant reduction in data transmission, resulting in decreased user throughput for legacy UEs.</w:t>
      </w:r>
    </w:p>
    <w:p w14:paraId="2814E857">
      <w:pPr>
        <w:pStyle w:val="34"/>
        <w:numPr>
          <w:ilvl w:val="0"/>
          <w:numId w:val="0"/>
        </w:numPr>
        <w:tabs>
          <w:tab w:val="left" w:pos="1701"/>
        </w:tabs>
        <w:spacing w:before="240" w:after="240" w:line="240" w:lineRule="auto"/>
        <w:ind w:leftChars="0"/>
        <w:jc w:val="center"/>
        <w:rPr>
          <w:highlight w:val="none"/>
        </w:rPr>
      </w:pPr>
      <w:r>
        <w:rPr>
          <w:highlight w:val="none"/>
        </w:rPr>
        <w:drawing>
          <wp:inline distT="0" distB="0" distL="114300" distR="114300">
            <wp:extent cx="5909945" cy="2208530"/>
            <wp:effectExtent l="0" t="0" r="3175"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5909945" cy="2208530"/>
                    </a:xfrm>
                    <a:prstGeom prst="rect">
                      <a:avLst/>
                    </a:prstGeom>
                    <a:noFill/>
                    <a:ln>
                      <a:noFill/>
                    </a:ln>
                  </pic:spPr>
                </pic:pic>
              </a:graphicData>
            </a:graphic>
          </wp:inline>
        </w:drawing>
      </w:r>
    </w:p>
    <w:p w14:paraId="7C62953B">
      <w:pPr>
        <w:pStyle w:val="34"/>
        <w:numPr>
          <w:ilvl w:val="0"/>
          <w:numId w:val="0"/>
        </w:numPr>
        <w:tabs>
          <w:tab w:val="left" w:pos="1701"/>
        </w:tabs>
        <w:spacing w:before="240" w:after="240" w:line="240" w:lineRule="auto"/>
        <w:ind w:leftChars="0"/>
        <w:jc w:val="center"/>
        <w:rPr>
          <w:rFonts w:hint="eastAsia"/>
          <w:b w:val="0"/>
          <w:bCs w:val="0"/>
          <w:sz w:val="22"/>
          <w:szCs w:val="22"/>
          <w:highlight w:val="none"/>
          <w:lang w:val="en-US" w:eastAsia="zh-CN"/>
        </w:rPr>
      </w:pPr>
      <w:r>
        <w:rPr>
          <w:rFonts w:hint="eastAsia"/>
          <w:b w:val="0"/>
          <w:bCs w:val="0"/>
          <w:sz w:val="22"/>
          <w:szCs w:val="22"/>
          <w:highlight w:val="none"/>
          <w:lang w:val="en-US" w:eastAsia="zh-CN"/>
        </w:rPr>
        <w:t xml:space="preserve">Figure 3. 48 CSI-RS ports (K=2) with </w:t>
      </w:r>
      <w:r>
        <w:rPr>
          <w:rFonts w:ascii="Times New Roman" w:hAnsi="Times New Roman" w:eastAsia="宋体" w:cs="Times New Roman"/>
          <w:b w:val="0"/>
          <w:bCs w:val="0"/>
          <w:kern w:val="0"/>
          <w:sz w:val="22"/>
          <w:szCs w:val="22"/>
          <w:highlight w:val="none"/>
          <w:lang w:val="en-GB" w:eastAsia="en-US"/>
        </w:rPr>
        <w:t>density ρ = 1/</w:t>
      </w:r>
      <w:r>
        <w:rPr>
          <w:rFonts w:hint="eastAsia" w:cs="Times New Roman"/>
          <w:b w:val="0"/>
          <w:bCs w:val="0"/>
          <w:kern w:val="0"/>
          <w:sz w:val="22"/>
          <w:szCs w:val="22"/>
          <w:highlight w:val="none"/>
          <w:lang w:val="en-US" w:eastAsia="zh-CN"/>
        </w:rPr>
        <w:t>3</w:t>
      </w:r>
      <w:r>
        <w:rPr>
          <w:rFonts w:hint="eastAsia"/>
          <w:b w:val="0"/>
          <w:bCs w:val="0"/>
          <w:sz w:val="22"/>
          <w:szCs w:val="22"/>
          <w:highlight w:val="none"/>
          <w:lang w:val="en-US" w:eastAsia="zh-CN"/>
        </w:rPr>
        <w:t xml:space="preserve"> and rate matching pattern</w:t>
      </w:r>
    </w:p>
    <w:p w14:paraId="2BEC1492">
      <w:pPr>
        <w:pStyle w:val="34"/>
        <w:numPr>
          <w:ilvl w:val="0"/>
          <w:numId w:val="0"/>
        </w:numPr>
        <w:tabs>
          <w:tab w:val="left" w:pos="1701"/>
        </w:tabs>
        <w:spacing w:before="240" w:after="240" w:line="240" w:lineRule="auto"/>
        <w:ind w:leftChars="0"/>
        <w:jc w:val="center"/>
        <w:rPr>
          <w:highlight w:val="none"/>
        </w:rPr>
      </w:pPr>
      <w:r>
        <w:rPr>
          <w:highlight w:val="none"/>
        </w:rPr>
        <w:drawing>
          <wp:inline distT="0" distB="0" distL="114300" distR="114300">
            <wp:extent cx="5905500" cy="2306955"/>
            <wp:effectExtent l="0" t="0" r="762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5905500" cy="2306955"/>
                    </a:xfrm>
                    <a:prstGeom prst="rect">
                      <a:avLst/>
                    </a:prstGeom>
                    <a:noFill/>
                    <a:ln>
                      <a:noFill/>
                    </a:ln>
                  </pic:spPr>
                </pic:pic>
              </a:graphicData>
            </a:graphic>
          </wp:inline>
        </w:drawing>
      </w:r>
    </w:p>
    <w:p w14:paraId="63FB1FEB">
      <w:pPr>
        <w:pStyle w:val="34"/>
        <w:numPr>
          <w:ilvl w:val="0"/>
          <w:numId w:val="0"/>
        </w:numPr>
        <w:tabs>
          <w:tab w:val="left" w:pos="1701"/>
        </w:tabs>
        <w:spacing w:before="240" w:after="240" w:line="240" w:lineRule="auto"/>
        <w:ind w:leftChars="0"/>
        <w:jc w:val="center"/>
        <w:rPr>
          <w:rFonts w:hint="eastAsia"/>
          <w:b w:val="0"/>
          <w:bCs w:val="0"/>
          <w:sz w:val="22"/>
          <w:szCs w:val="22"/>
          <w:highlight w:val="none"/>
          <w:lang w:val="en-US" w:eastAsia="zh-CN"/>
        </w:rPr>
      </w:pPr>
      <w:r>
        <w:rPr>
          <w:rFonts w:hint="eastAsia"/>
          <w:b w:val="0"/>
          <w:bCs w:val="0"/>
          <w:sz w:val="22"/>
          <w:szCs w:val="22"/>
          <w:highlight w:val="none"/>
          <w:lang w:val="en-US" w:eastAsia="zh-CN"/>
        </w:rPr>
        <w:t xml:space="preserve">Figure 4. 48 CSI-RS ports (K=2) with </w:t>
      </w:r>
      <w:r>
        <w:rPr>
          <w:rFonts w:ascii="Times New Roman" w:hAnsi="Times New Roman" w:eastAsia="宋体" w:cs="Times New Roman"/>
          <w:b w:val="0"/>
          <w:bCs w:val="0"/>
          <w:kern w:val="0"/>
          <w:sz w:val="22"/>
          <w:szCs w:val="22"/>
          <w:highlight w:val="none"/>
          <w:lang w:val="en-GB" w:eastAsia="en-US"/>
        </w:rPr>
        <w:t>density ρ = 1/</w:t>
      </w:r>
      <w:r>
        <w:rPr>
          <w:rFonts w:hint="eastAsia" w:cs="Times New Roman"/>
          <w:b w:val="0"/>
          <w:bCs w:val="0"/>
          <w:kern w:val="0"/>
          <w:sz w:val="22"/>
          <w:szCs w:val="22"/>
          <w:highlight w:val="none"/>
          <w:lang w:val="en-US" w:eastAsia="zh-CN"/>
        </w:rPr>
        <w:t>6</w:t>
      </w:r>
      <w:r>
        <w:rPr>
          <w:rFonts w:hint="eastAsia"/>
          <w:b w:val="0"/>
          <w:bCs w:val="0"/>
          <w:sz w:val="22"/>
          <w:szCs w:val="22"/>
          <w:highlight w:val="none"/>
          <w:lang w:val="en-US" w:eastAsia="zh-CN"/>
        </w:rPr>
        <w:t xml:space="preserve"> and rate matching pattern</w:t>
      </w:r>
    </w:p>
    <w:p w14:paraId="00F51FED">
      <w:pPr>
        <w:pStyle w:val="34"/>
        <w:numPr>
          <w:ilvl w:val="0"/>
          <w:numId w:val="0"/>
        </w:numPr>
        <w:tabs>
          <w:tab w:val="left" w:pos="1701"/>
        </w:tabs>
        <w:spacing w:before="240" w:after="240" w:line="240" w:lineRule="auto"/>
        <w:ind w:leftChars="0"/>
        <w:jc w:val="both"/>
        <w:rPr>
          <w:rFonts w:hint="eastAsia" w:cs="Times New Roman"/>
          <w:b w:val="0"/>
          <w:bCs w:val="0"/>
          <w:i w:val="0"/>
          <w:iCs w:val="0"/>
          <w:sz w:val="22"/>
          <w:szCs w:val="22"/>
          <w:highlight w:val="none"/>
          <w:lang w:val="en-US" w:eastAsia="zh-CN"/>
        </w:rPr>
      </w:pPr>
      <w:r>
        <w:rPr>
          <w:rFonts w:hint="eastAsia"/>
          <w:b w:val="0"/>
          <w:bCs w:val="0"/>
          <w:sz w:val="22"/>
          <w:szCs w:val="22"/>
          <w:highlight w:val="none"/>
          <w:lang w:val="en-US" w:eastAsia="zh-CN"/>
        </w:rPr>
        <w:t>Therefore, f</w:t>
      </w:r>
      <w:r>
        <w:rPr>
          <w:rFonts w:hint="default" w:ascii="Times New Roman" w:hAnsi="Times New Roman" w:cs="Times New Roman"/>
          <w:b w:val="0"/>
          <w:bCs w:val="0"/>
          <w:i w:val="0"/>
          <w:iCs w:val="0"/>
          <w:sz w:val="22"/>
          <w:szCs w:val="22"/>
          <w:highlight w:val="none"/>
          <w:lang w:val="en-US" w:eastAsia="zh-CN"/>
        </w:rPr>
        <w:t xml:space="preserve">or </w:t>
      </w:r>
      <w:r>
        <w:rPr>
          <w:rFonts w:hint="default" w:ascii="Times New Roman" w:hAnsi="Times New Roman" w:eastAsia="宋体" w:cs="Times New Roman"/>
          <w:b w:val="0"/>
          <w:bCs w:val="0"/>
          <w:i w:val="0"/>
          <w:iCs w:val="0"/>
          <w:sz w:val="22"/>
          <w:szCs w:val="22"/>
          <w:highlight w:val="none"/>
        </w:rPr>
        <w:t>CSI-RS frequency-domain density</w:t>
      </w:r>
      <w:r>
        <w:rPr>
          <w:rFonts w:hint="default" w:ascii="Times New Roman" w:hAnsi="Times New Roman" w:cs="Times New Roman"/>
          <w:b w:val="0"/>
          <w:bCs w:val="0"/>
          <w:i w:val="0"/>
          <w:iCs w:val="0"/>
          <w:sz w:val="22"/>
          <w:szCs w:val="22"/>
          <w:highlight w:val="none"/>
          <w:lang w:val="en-US" w:eastAsia="zh-CN"/>
        </w:rPr>
        <w:t xml:space="preserve"> </w:t>
      </w:r>
      <w:r>
        <w:rPr>
          <w:rFonts w:hint="default" w:ascii="Times New Roman" w:hAnsi="Times New Roman" w:eastAsia="微软雅黑" w:cs="Times New Roman"/>
          <w:b w:val="0"/>
          <w:bCs w:val="0"/>
          <w:i w:val="0"/>
          <w:iCs w:val="0"/>
          <w:sz w:val="22"/>
          <w:szCs w:val="22"/>
          <w:highlight w:val="none"/>
        </w:rPr>
        <w:t>ρ</w:t>
      </w:r>
      <w:r>
        <w:rPr>
          <w:rFonts w:hint="default" w:ascii="Times New Roman" w:hAnsi="Times New Roman" w:eastAsia="宋体" w:cs="Times New Roman"/>
          <w:b w:val="0"/>
          <w:bCs w:val="0"/>
          <w:i w:val="0"/>
          <w:iCs w:val="0"/>
          <w:sz w:val="22"/>
          <w:szCs w:val="22"/>
          <w:highlight w:val="none"/>
        </w:rPr>
        <w:t>= 1/</w:t>
      </w:r>
      <w:r>
        <w:rPr>
          <w:rFonts w:hint="eastAsia" w:cs="Times New Roman"/>
          <w:b w:val="0"/>
          <w:bCs w:val="0"/>
          <w:i w:val="0"/>
          <w:iCs w:val="0"/>
          <w:sz w:val="22"/>
          <w:szCs w:val="22"/>
          <w:highlight w:val="none"/>
          <w:lang w:val="en-US" w:eastAsia="zh-CN"/>
        </w:rPr>
        <w:t>3 and 1/6, we don</w:t>
      </w:r>
      <w:r>
        <w:rPr>
          <w:rFonts w:hint="default" w:cs="Times New Roman"/>
          <w:b w:val="0"/>
          <w:bCs w:val="0"/>
          <w:i w:val="0"/>
          <w:iCs w:val="0"/>
          <w:sz w:val="22"/>
          <w:szCs w:val="22"/>
          <w:highlight w:val="none"/>
          <w:lang w:val="en-US" w:eastAsia="zh-CN"/>
        </w:rPr>
        <w:t>’</w:t>
      </w:r>
      <w:r>
        <w:rPr>
          <w:rFonts w:hint="eastAsia" w:cs="Times New Roman"/>
          <w:b w:val="0"/>
          <w:bCs w:val="0"/>
          <w:i w:val="0"/>
          <w:iCs w:val="0"/>
          <w:sz w:val="22"/>
          <w:szCs w:val="22"/>
          <w:highlight w:val="none"/>
          <w:lang w:val="en-US" w:eastAsia="zh-CN"/>
        </w:rPr>
        <w:t xml:space="preserve">t support K=2 and 24-port NZP CSI-RS resources in a CSI-RS resource set aggregating 48 CSI-RS port. </w:t>
      </w:r>
    </w:p>
    <w:p w14:paraId="25A410E0">
      <w:pPr>
        <w:pStyle w:val="34"/>
        <w:numPr>
          <w:ilvl w:val="0"/>
          <w:numId w:val="10"/>
        </w:numPr>
        <w:tabs>
          <w:tab w:val="left" w:pos="1701"/>
        </w:tabs>
        <w:spacing w:before="240" w:after="240" w:line="240" w:lineRule="auto"/>
        <w:ind w:left="1134" w:hanging="1134"/>
        <w:rPr>
          <w:rFonts w:hint="eastAsia" w:cs="Times New Roman"/>
          <w:b w:val="0"/>
          <w:bCs w:val="0"/>
          <w:sz w:val="22"/>
          <w:szCs w:val="22"/>
          <w:highlight w:val="none"/>
          <w:lang w:val="en-US" w:eastAsia="zh-CN" w:bidi="ar-SA"/>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 xml:space="preserve">3 and </w:t>
      </w:r>
      <w:r>
        <w:rPr>
          <w:rFonts w:hint="eastAsia" w:cs="Times New Roman"/>
          <w:b w:val="0"/>
          <w:bCs w:val="0"/>
          <w:i/>
          <w:iCs/>
          <w:sz w:val="22"/>
          <w:szCs w:val="22"/>
          <w:highlight w:val="none"/>
          <w:lang w:val="en-US" w:eastAsia="zh-CN"/>
        </w:rPr>
        <w:t>1/6</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eastAsia" w:cs="Times New Roman"/>
          <w:b/>
          <w:bCs/>
          <w:i/>
          <w:iCs/>
          <w:sz w:val="22"/>
          <w:szCs w:val="22"/>
          <w:highlight w:val="none"/>
          <w:lang w:val="en-US" w:eastAsia="zh-CN"/>
        </w:rPr>
        <w:t>2</w:t>
      </w:r>
      <w:r>
        <w:rPr>
          <w:rFonts w:hint="default" w:ascii="Times New Roman" w:hAnsi="Times New Roman" w:cs="Times New Roman"/>
          <w:b/>
          <w:bCs/>
          <w:i/>
          <w:iCs/>
          <w:sz w:val="22"/>
          <w:szCs w:val="22"/>
          <w:highlight w:val="none"/>
        </w:rPr>
        <w:t xml:space="preserve"> </w:t>
      </w:r>
      <w:r>
        <w:rPr>
          <w:rFonts w:hint="eastAsia" w:cs="Times New Roman"/>
          <w:b/>
          <w:bCs/>
          <w:i/>
          <w:iCs/>
          <w:sz w:val="22"/>
          <w:szCs w:val="22"/>
          <w:highlight w:val="none"/>
          <w:lang w:val="en-US" w:eastAsia="zh-CN"/>
        </w:rPr>
        <w:t>24</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646122B6">
      <w:pPr>
        <w:rPr>
          <w:rFonts w:hint="eastAsia"/>
          <w:color w:val="000000" w:themeColor="text1"/>
          <w:highlight w:val="none"/>
          <w:lang w:val="en-US" w:eastAsia="zh-CN"/>
          <w14:textFill>
            <w14:solidFill>
              <w14:schemeClr w14:val="tx1"/>
            </w14:solidFill>
          </w14:textFill>
        </w:rPr>
      </w:pPr>
    </w:p>
    <w:p w14:paraId="6D757D7F">
      <w:pPr>
        <w:pStyle w:val="2"/>
        <w:rPr>
          <w:highlight w:val="none"/>
        </w:rPr>
      </w:pPr>
      <w:r>
        <w:rPr>
          <w:highlight w:val="none"/>
        </w:rPr>
        <w:t>Conclusions</w:t>
      </w:r>
    </w:p>
    <w:p w14:paraId="211D8DFB">
      <w:pPr>
        <w:rPr>
          <w:rFonts w:hint="default" w:ascii="Times New Roman" w:hAnsi="Times New Roman" w:eastAsia="宋体" w:cs="Times New Roman"/>
          <w:b w:val="0"/>
          <w:bCs w:val="0"/>
          <w:sz w:val="22"/>
          <w:szCs w:val="22"/>
          <w:highlight w:val="none"/>
          <w:lang w:val="en-US" w:eastAsia="zh-CN" w:bidi="ar-SA"/>
        </w:rPr>
      </w:pPr>
      <w:r>
        <w:rPr>
          <w:rFonts w:hint="eastAsia" w:ascii="Times New Roman" w:hAnsi="Times New Roman" w:eastAsia="宋体" w:cs="Times New Roman"/>
          <w:b w:val="0"/>
          <w:bCs w:val="0"/>
          <w:sz w:val="22"/>
          <w:szCs w:val="22"/>
          <w:highlight w:val="none"/>
          <w:lang w:val="en-US" w:eastAsia="zh-CN" w:bidi="ar-SA"/>
        </w:rPr>
        <w:t>This contribution presents our perspectives on early SRS/CSI/CSI-RS triggering and frequency-domain density sparsity design for larger antenna ports. We propose the following:</w:t>
      </w:r>
    </w:p>
    <w:p w14:paraId="36A71310">
      <w:pPr>
        <w:pStyle w:val="34"/>
        <w:numPr>
          <w:ilvl w:val="0"/>
          <w:numId w:val="15"/>
        </w:numPr>
        <w:tabs>
          <w:tab w:val="left" w:pos="1701"/>
        </w:tabs>
        <w:spacing w:before="240" w:after="240" w:line="240" w:lineRule="auto"/>
        <w:ind w:left="1134" w:hanging="1134"/>
        <w:rPr>
          <w:rFonts w:hint="default" w:ascii="Times New Roman" w:hAnsi="Times New Roman" w:eastAsia="宋体" w:cs="Times New Roman"/>
          <w:b/>
          <w:bCs/>
          <w:i/>
          <w:iCs/>
          <w:sz w:val="22"/>
          <w:szCs w:val="22"/>
          <w:highlight w:val="none"/>
          <w:lang w:val="en-US" w:eastAsia="zh-CN" w:bidi="ar-SA"/>
        </w:rPr>
      </w:pPr>
      <w:r>
        <w:rPr>
          <w:rFonts w:hint="eastAsia" w:cs="Times New Roman"/>
          <w:i/>
          <w:iCs/>
          <w:sz w:val="22"/>
          <w:szCs w:val="22"/>
          <w:highlight w:val="none"/>
          <w:lang w:val="en-US" w:eastAsia="zh-CN"/>
        </w:rPr>
        <w:t>:</w:t>
      </w:r>
      <w:r>
        <w:rPr>
          <w:rFonts w:hint="eastAsia"/>
          <w:i/>
          <w:iCs/>
          <w:sz w:val="22"/>
          <w:szCs w:val="22"/>
          <w:highlight w:val="none"/>
          <w:lang w:eastAsia="zh-CN"/>
        </w:rPr>
        <w:t xml:space="preserve"> </w:t>
      </w:r>
      <w:r>
        <w:rPr>
          <w:rFonts w:hint="eastAsia"/>
          <w:i/>
          <w:iCs/>
          <w:sz w:val="22"/>
          <w:szCs w:val="22"/>
          <w:highlight w:val="none"/>
          <w:lang w:val="en-US" w:eastAsia="zh-CN"/>
        </w:rPr>
        <w:t>For PMI based CSI reporting, support the report quantity 'cri-RI-PMI-CQI'.</w:t>
      </w:r>
    </w:p>
    <w:p w14:paraId="16D340DA">
      <w:pPr>
        <w:pStyle w:val="34"/>
        <w:numPr>
          <w:ilvl w:val="0"/>
          <w:numId w:val="10"/>
        </w:numPr>
        <w:tabs>
          <w:tab w:val="left" w:pos="1701"/>
        </w:tabs>
        <w:spacing w:before="240" w:after="240" w:line="240" w:lineRule="auto"/>
        <w:ind w:left="1134" w:hanging="1134"/>
        <w:rPr>
          <w:rFonts w:hint="default"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i/>
          <w:iCs/>
          <w:sz w:val="22"/>
          <w:szCs w:val="22"/>
          <w:highlight w:val="none"/>
          <w:lang w:val="en-US" w:eastAsia="zh-CN"/>
        </w:rPr>
        <w:t>For PMI-free CSI reporting, support the report quantity 'cri-RI-CQI'.</w:t>
      </w:r>
    </w:p>
    <w:p w14:paraId="2C61FCA6">
      <w:pPr>
        <w:pStyle w:val="34"/>
        <w:numPr>
          <w:ilvl w:val="0"/>
          <w:numId w:val="10"/>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eastAsia="zh-CN"/>
        </w:rPr>
        <w:t xml:space="preserve">: </w:t>
      </w:r>
      <w:r>
        <w:rPr>
          <w:rFonts w:hint="eastAsia"/>
          <w:i/>
          <w:iCs/>
          <w:sz w:val="22"/>
          <w:szCs w:val="22"/>
          <w:highlight w:val="none"/>
          <w:lang w:val="en-US" w:eastAsia="zh-CN"/>
        </w:rPr>
        <w:t xml:space="preserve">For the resource/reporting configuration(s) of CSI-RS/CSI triggering, the legacy CSI framework can be reused, specifically the IE </w:t>
      </w:r>
      <w:r>
        <w:rPr>
          <w:rFonts w:hint="default"/>
          <w:i/>
          <w:iCs/>
          <w:sz w:val="22"/>
          <w:szCs w:val="22"/>
          <w:highlight w:val="none"/>
          <w:lang w:val="en-US" w:eastAsia="zh-CN"/>
        </w:rPr>
        <w:t>‘</w:t>
      </w:r>
      <w:r>
        <w:rPr>
          <w:rFonts w:hint="eastAsia"/>
          <w:i/>
          <w:iCs/>
          <w:sz w:val="22"/>
          <w:szCs w:val="22"/>
          <w:highlight w:val="none"/>
          <w:lang w:val="en-US" w:eastAsia="zh-CN"/>
        </w:rPr>
        <w:t>CSI-MeasConfig</w:t>
      </w:r>
      <w:r>
        <w:rPr>
          <w:rFonts w:hint="default"/>
          <w:i/>
          <w:iCs/>
          <w:sz w:val="22"/>
          <w:szCs w:val="22"/>
          <w:highlight w:val="none"/>
          <w:lang w:val="en-US" w:eastAsia="zh-CN"/>
        </w:rPr>
        <w:t>’</w:t>
      </w:r>
      <w:r>
        <w:rPr>
          <w:rFonts w:hint="eastAsia"/>
          <w:i/>
          <w:iCs/>
          <w:sz w:val="22"/>
          <w:szCs w:val="22"/>
          <w:highlight w:val="none"/>
          <w:lang w:val="en-US" w:eastAsia="zh-CN"/>
        </w:rPr>
        <w:t>.</w:t>
      </w:r>
    </w:p>
    <w:p w14:paraId="030C3041">
      <w:pPr>
        <w:pStyle w:val="34"/>
        <w:numPr>
          <w:ilvl w:val="0"/>
          <w:numId w:val="10"/>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the resource configuration(s) of SRS-AS triggering, the legacy IE </w:t>
      </w:r>
      <w:r>
        <w:rPr>
          <w:rFonts w:hint="default"/>
          <w:i/>
          <w:iCs/>
          <w:sz w:val="22"/>
          <w:szCs w:val="22"/>
          <w:highlight w:val="none"/>
          <w:lang w:val="en-US" w:eastAsia="zh-CN"/>
        </w:rPr>
        <w:t>‘</w:t>
      </w:r>
      <w:r>
        <w:rPr>
          <w:rFonts w:hint="eastAsia"/>
          <w:i/>
          <w:iCs/>
          <w:sz w:val="22"/>
          <w:szCs w:val="22"/>
          <w:highlight w:val="none"/>
          <w:lang w:val="en-US" w:eastAsia="zh-CN"/>
        </w:rPr>
        <w:t>SRS-Config</w:t>
      </w:r>
      <w:r>
        <w:rPr>
          <w:rFonts w:hint="default"/>
          <w:i/>
          <w:iCs/>
          <w:sz w:val="22"/>
          <w:szCs w:val="22"/>
          <w:highlight w:val="none"/>
          <w:lang w:val="en-US" w:eastAsia="zh-CN"/>
        </w:rPr>
        <w:t>’</w:t>
      </w:r>
      <w:r>
        <w:rPr>
          <w:rFonts w:hint="eastAsia"/>
          <w:i/>
          <w:iCs/>
          <w:sz w:val="22"/>
          <w:szCs w:val="22"/>
          <w:highlight w:val="none"/>
          <w:lang w:val="en-US" w:eastAsia="zh-CN"/>
        </w:rPr>
        <w:t xml:space="preserve"> can be reused. </w:t>
      </w:r>
    </w:p>
    <w:p w14:paraId="3F421C9A">
      <w:pPr>
        <w:pStyle w:val="34"/>
        <w:numPr>
          <w:ilvl w:val="0"/>
          <w:numId w:val="10"/>
        </w:numPr>
        <w:tabs>
          <w:tab w:val="left" w:pos="1701"/>
        </w:tabs>
        <w:spacing w:before="240" w:after="240" w:line="240" w:lineRule="auto"/>
        <w:ind w:left="1134" w:hanging="1134"/>
        <w:rPr>
          <w:rFonts w:hint="eastAsia" w:cs="Times New Roman"/>
          <w:b w:val="0"/>
          <w:bCs/>
          <w:sz w:val="22"/>
          <w:szCs w:val="20"/>
          <w:highlight w:val="none"/>
          <w:lang w:val="en-US" w:eastAsia="zh-CN" w:bidi="ar-SA"/>
        </w:rPr>
      </w:pPr>
      <w:r>
        <w:rPr>
          <w:rFonts w:hint="eastAsia"/>
          <w:i/>
          <w:iCs/>
          <w:sz w:val="22"/>
          <w:szCs w:val="22"/>
          <w:highlight w:val="none"/>
          <w:lang w:val="en-US" w:eastAsia="zh-CN"/>
        </w:rPr>
        <w:t xml:space="preserve">: The resource/reporting configuration(s) information can be carried in the SIB1 information. </w:t>
      </w:r>
    </w:p>
    <w:p w14:paraId="0EE22ACF">
      <w:pPr>
        <w:pStyle w:val="34"/>
        <w:numPr>
          <w:ilvl w:val="0"/>
          <w:numId w:val="10"/>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xml:space="preserve">: For early CSI reporting triggering, </w:t>
      </w:r>
      <w:r>
        <w:rPr>
          <w:rFonts w:hint="default"/>
          <w:i/>
          <w:iCs/>
          <w:sz w:val="22"/>
          <w:szCs w:val="22"/>
          <w:highlight w:val="none"/>
          <w:lang w:val="en-US" w:eastAsia="zh-CN"/>
        </w:rPr>
        <w:t>‘</w:t>
      </w:r>
      <w:r>
        <w:rPr>
          <w:rFonts w:hint="eastAsia"/>
          <w:i/>
          <w:iCs/>
          <w:sz w:val="22"/>
          <w:szCs w:val="22"/>
          <w:highlight w:val="none"/>
          <w:lang w:val="en-US" w:eastAsia="zh-CN"/>
        </w:rPr>
        <w:t>CSI request</w:t>
      </w:r>
      <w:r>
        <w:rPr>
          <w:rFonts w:hint="default"/>
          <w:i/>
          <w:iCs/>
          <w:sz w:val="22"/>
          <w:szCs w:val="22"/>
          <w:highlight w:val="none"/>
          <w:lang w:val="en-US" w:eastAsia="zh-CN"/>
        </w:rPr>
        <w:t>’</w:t>
      </w:r>
      <w:r>
        <w:rPr>
          <w:rFonts w:hint="eastAsia"/>
          <w:i/>
          <w:iCs/>
          <w:sz w:val="22"/>
          <w:szCs w:val="22"/>
          <w:highlight w:val="none"/>
          <w:lang w:val="en-US" w:eastAsia="zh-CN"/>
        </w:rPr>
        <w:t xml:space="preserve"> field can be added to MSG4 to trigger CSI reporting. </w:t>
      </w:r>
    </w:p>
    <w:p w14:paraId="26150150">
      <w:pPr>
        <w:pStyle w:val="34"/>
        <w:numPr>
          <w:ilvl w:val="0"/>
          <w:numId w:val="10"/>
        </w:numPr>
        <w:tabs>
          <w:tab w:val="left" w:pos="1701"/>
        </w:tabs>
        <w:spacing w:before="240" w:after="240" w:line="240" w:lineRule="auto"/>
        <w:ind w:left="1134" w:hanging="1134"/>
        <w:rPr>
          <w:rFonts w:hint="eastAsia" w:cs="Times New Roman"/>
          <w:b w:val="0"/>
          <w:bCs/>
          <w:sz w:val="22"/>
          <w:szCs w:val="20"/>
          <w:highlight w:val="none"/>
          <w:lang w:val="en-US" w:eastAsia="zh-CN" w:bidi="ar-SA"/>
        </w:rPr>
      </w:pPr>
      <w:r>
        <w:rPr>
          <w:rFonts w:hint="eastAsia"/>
          <w:i/>
          <w:iCs/>
          <w:sz w:val="22"/>
          <w:szCs w:val="22"/>
          <w:highlight w:val="none"/>
          <w:lang w:val="en-US" w:eastAsia="zh-CN"/>
        </w:rPr>
        <w:t>: For early CSI reporting triggering, UL grant information can be added to MSG4 to allocate PUSCH resource for CSI reporting.</w:t>
      </w:r>
    </w:p>
    <w:p w14:paraId="646B507F">
      <w:pPr>
        <w:pStyle w:val="34"/>
        <w:numPr>
          <w:ilvl w:val="0"/>
          <w:numId w:val="10"/>
        </w:numPr>
        <w:tabs>
          <w:tab w:val="left" w:pos="1701"/>
        </w:tabs>
        <w:spacing w:before="240" w:after="240" w:line="240" w:lineRule="auto"/>
        <w:ind w:left="1134" w:hanging="1134"/>
        <w:rPr>
          <w:rFonts w:hint="eastAsia" w:hAnsi="Cambria Math"/>
          <w:b/>
          <w:bCs/>
          <w:i/>
          <w:iCs/>
          <w:sz w:val="22"/>
          <w:szCs w:val="22"/>
          <w:highlight w:val="none"/>
          <w:lang w:val="en-US" w:eastAsia="zh-CN"/>
        </w:rPr>
      </w:pPr>
      <w:r>
        <w:rPr>
          <w:rFonts w:hint="eastAsia"/>
          <w:i/>
          <w:iCs/>
          <w:sz w:val="22"/>
          <w:szCs w:val="22"/>
          <w:highlight w:val="none"/>
          <w:lang w:val="en-US" w:eastAsia="zh-CN"/>
        </w:rPr>
        <w:t>: For early CSI reporting triggering, the CSI reporting timeline begain at slot n+</w:t>
      </w:r>
      <m:oMath>
        <m:sSubSup>
          <m:sSubSupPr>
            <m:ctrlPr>
              <w:rPr>
                <w:rFonts w:hint="eastAsia" w:ascii="Cambria Math" w:hAnsi="Cambria Math"/>
                <w:b/>
                <w:bCs/>
                <w:i/>
                <w:iCs/>
                <w:sz w:val="22"/>
                <w:szCs w:val="22"/>
                <w:highlight w:val="none"/>
                <w:lang w:val="en-US" w:eastAsia="zh-CN"/>
              </w:rPr>
            </m:ctrlPr>
          </m:sSubSupPr>
          <m:e>
            <m:r>
              <m:rPr>
                <m:sty m:val="bi"/>
              </m:rPr>
              <w:rPr>
                <w:rFonts w:hint="default" w:ascii="Times New Roman" w:hAnsi="Times New Roman"/>
                <w:sz w:val="22"/>
                <w:szCs w:val="22"/>
                <w:highlight w:val="none"/>
                <w:lang w:val="en-US" w:eastAsia="zh-CN"/>
              </w:rPr>
              <m:t>3N</m:t>
            </m:r>
            <m:ctrlPr>
              <w:rPr>
                <w:rFonts w:hint="eastAsia" w:ascii="Cambria Math" w:hAnsi="Cambria Math"/>
                <w:b/>
                <w:bCs/>
                <w:i/>
                <w:iCs/>
                <w:sz w:val="22"/>
                <w:szCs w:val="22"/>
                <w:highlight w:val="none"/>
                <w:lang w:val="en-US" w:eastAsia="zh-CN"/>
              </w:rPr>
            </m:ctrlPr>
          </m:e>
          <m:sub>
            <m:r>
              <m:rPr>
                <m:sty m:val="bi"/>
              </m:rPr>
              <w:rPr>
                <w:rFonts w:hint="default" w:ascii="Times New Roman" w:hAnsi="Times New Roman"/>
                <w:sz w:val="22"/>
                <w:szCs w:val="22"/>
                <w:highlight w:val="none"/>
                <w:lang w:val="en-US" w:eastAsia="zh-CN"/>
              </w:rPr>
              <m:t>slot</m:t>
            </m:r>
            <m:ctrlPr>
              <w:rPr>
                <w:rFonts w:hint="eastAsia" w:ascii="Cambria Math" w:hAnsi="Cambria Math"/>
                <w:b/>
                <w:bCs/>
                <w:i/>
                <w:iCs/>
                <w:sz w:val="22"/>
                <w:szCs w:val="22"/>
                <w:highlight w:val="none"/>
                <w:lang w:val="en-US" w:eastAsia="zh-CN"/>
              </w:rPr>
            </m:ctrlPr>
          </m:sub>
          <m:sup>
            <m:r>
              <m:rPr>
                <m:sty m:val="bi"/>
              </m:rPr>
              <w:rPr>
                <w:rFonts w:hint="default" w:ascii="Times New Roman" w:hAnsi="Times New Roman"/>
                <w:sz w:val="22"/>
                <w:szCs w:val="22"/>
                <w:highlight w:val="none"/>
                <w:lang w:val="en-US" w:eastAsia="zh-CN"/>
              </w:rPr>
              <m:t>subframe,µ</m:t>
            </m:r>
            <m:ctrlPr>
              <w:rPr>
                <w:rFonts w:hint="eastAsia" w:ascii="Cambria Math" w:hAnsi="Cambria Math"/>
                <w:b/>
                <w:bCs/>
                <w:i/>
                <w:iCs/>
                <w:sz w:val="22"/>
                <w:szCs w:val="22"/>
                <w:highlight w:val="none"/>
                <w:lang w:val="en-US" w:eastAsia="zh-CN"/>
              </w:rPr>
            </m:ctrlPr>
          </m:sup>
        </m:sSubSup>
      </m:oMath>
      <w:r>
        <w:rPr>
          <w:rFonts w:hint="eastAsia" w:hAnsi="Cambria Math"/>
          <w:b/>
          <w:bCs/>
          <w:i/>
          <w:iCs/>
          <w:sz w:val="22"/>
          <w:szCs w:val="22"/>
          <w:highlight w:val="none"/>
          <w:lang w:val="en-US" w:eastAsia="zh-CN"/>
        </w:rPr>
        <w:t>.</w:t>
      </w:r>
    </w:p>
    <w:p w14:paraId="0916F13B">
      <w:pPr>
        <w:pStyle w:val="34"/>
        <w:numPr>
          <w:ilvl w:val="0"/>
          <w:numId w:val="10"/>
        </w:numPr>
        <w:tabs>
          <w:tab w:val="left" w:pos="1701"/>
        </w:tabs>
        <w:spacing w:before="240" w:after="240" w:line="240" w:lineRule="auto"/>
        <w:ind w:left="1134" w:hanging="1134"/>
        <w:rPr>
          <w:rFonts w:hint="eastAsia" w:cs="Times New Roman"/>
          <w:b w:val="0"/>
          <w:bCs/>
          <w:sz w:val="22"/>
          <w:szCs w:val="20"/>
          <w:highlight w:val="none"/>
          <w:lang w:val="en-US" w:eastAsia="zh-CN" w:bidi="ar-SA"/>
        </w:rPr>
      </w:pPr>
      <w:r>
        <w:rPr>
          <w:rFonts w:hint="eastAsia"/>
          <w:i/>
          <w:iCs/>
          <w:sz w:val="22"/>
          <w:szCs w:val="22"/>
          <w:highlight w:val="none"/>
          <w:lang w:val="en-US" w:eastAsia="zh-CN"/>
        </w:rPr>
        <w:t>: For early SRS/CSI/CSI-RS triggering, the UE reports capability(s) for early SRS/CSI-RS/CSI triggering, and imposing parameter constraints is unnecessary.</w:t>
      </w:r>
    </w:p>
    <w:p w14:paraId="1A5861A9">
      <w:pPr>
        <w:pStyle w:val="34"/>
        <w:numPr>
          <w:ilvl w:val="0"/>
          <w:numId w:val="10"/>
        </w:numPr>
        <w:tabs>
          <w:tab w:val="left" w:pos="1701"/>
        </w:tabs>
        <w:spacing w:before="240" w:after="240" w:line="240" w:lineRule="auto"/>
        <w:ind w:left="1134" w:hanging="1134"/>
        <w:rPr>
          <w:rFonts w:hint="eastAsia"/>
          <w:highlight w:val="none"/>
          <w:lang w:eastAsia="zh-CN"/>
        </w:rPr>
      </w:pPr>
      <w:r>
        <w:rPr>
          <w:rFonts w:hint="eastAsia"/>
          <w:i/>
          <w:iCs/>
          <w:sz w:val="22"/>
          <w:szCs w:val="22"/>
          <w:highlight w:val="none"/>
          <w:lang w:val="en-US" w:eastAsia="zh-CN"/>
        </w:rPr>
        <w:t xml:space="preserve">: For early SRS-AS triggering, the specific </w:t>
      </w:r>
      <w:r>
        <w:rPr>
          <w:rFonts w:hint="eastAsia"/>
          <w:highlight w:val="none"/>
          <w:lang w:val="en-US" w:eastAsia="zh-CN"/>
        </w:rPr>
        <w:t xml:space="preserve">aperiodic SRS-AS resource can be configured for SCell. </w:t>
      </w:r>
    </w:p>
    <w:p w14:paraId="164C590F">
      <w:pPr>
        <w:pStyle w:val="34"/>
        <w:numPr>
          <w:ilvl w:val="0"/>
          <w:numId w:val="10"/>
        </w:numPr>
        <w:tabs>
          <w:tab w:val="left" w:pos="1701"/>
        </w:tabs>
        <w:spacing w:before="240" w:after="240" w:line="240" w:lineRule="auto"/>
        <w:ind w:left="1134" w:hanging="1134"/>
        <w:rPr>
          <w:rFonts w:hint="eastAsia"/>
          <w:highlight w:val="none"/>
          <w:lang w:eastAsia="zh-CN"/>
        </w:rPr>
      </w:pPr>
      <w:r>
        <w:rPr>
          <w:rFonts w:hint="eastAsia"/>
          <w:i/>
          <w:iCs/>
          <w:sz w:val="22"/>
          <w:szCs w:val="22"/>
          <w:highlight w:val="none"/>
          <w:lang w:val="en-US" w:eastAsia="zh-CN"/>
        </w:rPr>
        <w:t xml:space="preserve">: For </w:t>
      </w:r>
      <w:r>
        <w:rPr>
          <w:rFonts w:hint="eastAsia"/>
          <w:highlight w:val="none"/>
          <w:lang w:eastAsia="zh-CN"/>
        </w:rPr>
        <w:t>early SRS-AS triggering, an SRS-Request field can be added to the SCell activation command to trigger aperiodic SRS measurement.</w:t>
      </w:r>
    </w:p>
    <w:p w14:paraId="072402B0">
      <w:pPr>
        <w:pStyle w:val="34"/>
        <w:numPr>
          <w:ilvl w:val="0"/>
          <w:numId w:val="10"/>
        </w:numPr>
        <w:tabs>
          <w:tab w:val="left" w:pos="1701"/>
        </w:tabs>
        <w:spacing w:before="240" w:after="240" w:line="240" w:lineRule="auto"/>
        <w:ind w:left="1134" w:hanging="1134"/>
        <w:rPr>
          <w:rFonts w:hint="eastAsia"/>
          <w:highlight w:val="none"/>
          <w:lang w:eastAsia="zh-CN"/>
        </w:rPr>
      </w:pPr>
      <w:r>
        <w:rPr>
          <w:rFonts w:hint="eastAsia"/>
          <w:i/>
          <w:iCs/>
          <w:sz w:val="22"/>
          <w:szCs w:val="22"/>
          <w:highlight w:val="none"/>
          <w:lang w:val="en-US" w:eastAsia="zh-CN"/>
        </w:rPr>
        <w:t xml:space="preserve">: For early </w:t>
      </w:r>
      <w:r>
        <w:rPr>
          <w:rFonts w:hint="eastAsia"/>
          <w:highlight w:val="none"/>
          <w:lang w:eastAsia="zh-CN"/>
        </w:rPr>
        <w:t>CSI reporting triggering</w:t>
      </w:r>
      <w:r>
        <w:rPr>
          <w:rFonts w:hint="eastAsia"/>
          <w:i/>
          <w:iCs/>
          <w:sz w:val="22"/>
          <w:szCs w:val="22"/>
          <w:highlight w:val="none"/>
          <w:lang w:val="en-US" w:eastAsia="zh-CN"/>
        </w:rPr>
        <w:t xml:space="preserve">, the specific </w:t>
      </w:r>
      <w:r>
        <w:rPr>
          <w:rFonts w:hint="eastAsia"/>
          <w:highlight w:val="none"/>
          <w:lang w:val="en-US" w:eastAsia="zh-CN"/>
        </w:rPr>
        <w:t xml:space="preserve">aperiodic trigger state can be configured for SCell. </w:t>
      </w:r>
    </w:p>
    <w:p w14:paraId="1108B2A9">
      <w:pPr>
        <w:pStyle w:val="34"/>
        <w:numPr>
          <w:ilvl w:val="0"/>
          <w:numId w:val="10"/>
        </w:numPr>
        <w:tabs>
          <w:tab w:val="left" w:pos="1701"/>
        </w:tabs>
        <w:spacing w:before="240" w:after="240" w:line="240" w:lineRule="auto"/>
        <w:ind w:left="1134" w:hanging="1134"/>
        <w:rPr>
          <w:rFonts w:hint="eastAsia"/>
          <w:highlight w:val="none"/>
          <w:lang w:eastAsia="zh-CN"/>
        </w:rPr>
      </w:pPr>
      <w:r>
        <w:rPr>
          <w:rFonts w:hint="eastAsia"/>
          <w:i/>
          <w:iCs/>
          <w:sz w:val="22"/>
          <w:szCs w:val="22"/>
          <w:highlight w:val="none"/>
          <w:lang w:eastAsia="zh-CN"/>
        </w:rPr>
        <w:t xml:space="preserve">: </w:t>
      </w:r>
      <w:r>
        <w:rPr>
          <w:rFonts w:hint="eastAsia"/>
          <w:highlight w:val="none"/>
          <w:lang w:eastAsia="zh-CN"/>
        </w:rPr>
        <w:t xml:space="preserve">For </w:t>
      </w:r>
      <w:r>
        <w:rPr>
          <w:rFonts w:hint="eastAsia" w:ascii="Times New Roman" w:hAnsi="Times New Roman" w:eastAsia="宋体" w:cs="Times New Roman"/>
          <w:b/>
          <w:bCs/>
          <w:i/>
          <w:iCs/>
          <w:sz w:val="22"/>
          <w:szCs w:val="22"/>
          <w:highlight w:val="none"/>
          <w:lang w:val="en-US" w:eastAsia="zh-CN" w:bidi="ar-SA"/>
        </w:rPr>
        <w:t xml:space="preserve">early </w:t>
      </w:r>
      <w:r>
        <w:rPr>
          <w:rFonts w:hint="eastAsia"/>
          <w:highlight w:val="none"/>
          <w:lang w:eastAsia="zh-CN"/>
        </w:rPr>
        <w:t>CSI reporting triggering, a CSI-Request field can be added to the SCell activation command to trigger aperiodic SRS measurement.</w:t>
      </w:r>
    </w:p>
    <w:p w14:paraId="1A73348F">
      <w:pPr>
        <w:pStyle w:val="34"/>
        <w:numPr>
          <w:ilvl w:val="0"/>
          <w:numId w:val="10"/>
        </w:numPr>
        <w:tabs>
          <w:tab w:val="left" w:pos="1701"/>
        </w:tabs>
        <w:spacing w:before="240" w:after="240" w:line="240" w:lineRule="auto"/>
        <w:ind w:left="1134" w:hanging="1134"/>
        <w:rPr>
          <w:rFonts w:hint="default"/>
          <w:b/>
          <w:bCs/>
          <w:szCs w:val="20"/>
          <w:highlight w:val="none"/>
          <w:lang w:val="en-US" w:eastAsia="zh-CN"/>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1/4</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default" w:ascii="Times New Roman" w:hAnsi="Times New Roman" w:cs="Times New Roman"/>
          <w:b/>
          <w:bCs/>
          <w:i/>
          <w:iCs/>
          <w:sz w:val="22"/>
          <w:szCs w:val="22"/>
          <w:highlight w:val="none"/>
          <w:lang w:val="en-US" w:eastAsia="zh-CN"/>
        </w:rPr>
        <w:t>3</w:t>
      </w:r>
      <w:r>
        <w:rPr>
          <w:rFonts w:hint="default" w:ascii="Times New Roman" w:hAnsi="Times New Roman" w:cs="Times New Roman"/>
          <w:b/>
          <w:bCs/>
          <w:i/>
          <w:iCs/>
          <w:sz w:val="22"/>
          <w:szCs w:val="22"/>
          <w:highlight w:val="none"/>
        </w:rPr>
        <w:t xml:space="preserve"> </w:t>
      </w:r>
      <w:r>
        <w:rPr>
          <w:rFonts w:hint="default" w:ascii="Times New Roman" w:hAnsi="Times New Roman" w:cs="Times New Roman"/>
          <w:b/>
          <w:bCs/>
          <w:i/>
          <w:iCs/>
          <w:sz w:val="22"/>
          <w:szCs w:val="22"/>
          <w:highlight w:val="none"/>
          <w:lang w:val="en-US" w:eastAsia="zh-CN"/>
        </w:rPr>
        <w:t>16</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25E7C77A">
      <w:pPr>
        <w:pStyle w:val="34"/>
        <w:numPr>
          <w:ilvl w:val="0"/>
          <w:numId w:val="10"/>
        </w:numPr>
        <w:tabs>
          <w:tab w:val="left" w:pos="1701"/>
        </w:tabs>
        <w:spacing w:before="240" w:after="240" w:line="240" w:lineRule="auto"/>
        <w:ind w:left="1134" w:hanging="1134"/>
        <w:rPr>
          <w:rFonts w:hint="eastAsia"/>
          <w:b/>
          <w:bCs/>
          <w:sz w:val="22"/>
          <w:szCs w:val="22"/>
          <w:highlight w:val="none"/>
          <w:lang w:val="en-US" w:eastAsia="zh-CN"/>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8</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default" w:ascii="Times New Roman" w:hAnsi="Times New Roman" w:cs="Times New Roman"/>
          <w:b/>
          <w:bCs/>
          <w:i/>
          <w:iCs/>
          <w:sz w:val="22"/>
          <w:szCs w:val="22"/>
          <w:highlight w:val="none"/>
          <w:lang w:val="en-US" w:eastAsia="zh-CN"/>
        </w:rPr>
        <w:t>3</w:t>
      </w:r>
      <w:r>
        <w:rPr>
          <w:rFonts w:hint="default" w:ascii="Times New Roman" w:hAnsi="Times New Roman" w:cs="Times New Roman"/>
          <w:b/>
          <w:bCs/>
          <w:i/>
          <w:iCs/>
          <w:sz w:val="22"/>
          <w:szCs w:val="22"/>
          <w:highlight w:val="none"/>
        </w:rPr>
        <w:t xml:space="preserve"> </w:t>
      </w:r>
      <w:r>
        <w:rPr>
          <w:rFonts w:hint="default" w:ascii="Times New Roman" w:hAnsi="Times New Roman" w:cs="Times New Roman"/>
          <w:b/>
          <w:bCs/>
          <w:i/>
          <w:iCs/>
          <w:sz w:val="22"/>
          <w:szCs w:val="22"/>
          <w:highlight w:val="none"/>
          <w:lang w:val="en-US" w:eastAsia="zh-CN"/>
        </w:rPr>
        <w:t>16</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4DDA9E33">
      <w:pPr>
        <w:pStyle w:val="34"/>
        <w:numPr>
          <w:ilvl w:val="0"/>
          <w:numId w:val="10"/>
        </w:numPr>
        <w:tabs>
          <w:tab w:val="left" w:pos="1701"/>
        </w:tabs>
        <w:spacing w:before="240" w:after="240" w:line="240" w:lineRule="auto"/>
        <w:ind w:left="1134" w:hanging="1134"/>
        <w:rPr>
          <w:rFonts w:hint="eastAsia" w:cs="Times New Roman"/>
          <w:b w:val="0"/>
          <w:bCs w:val="0"/>
          <w:sz w:val="22"/>
          <w:szCs w:val="22"/>
          <w:highlight w:val="none"/>
          <w:lang w:val="en-US" w:eastAsia="zh-CN" w:bidi="ar-SA"/>
        </w:rPr>
      </w:pPr>
      <w:r>
        <w:rPr>
          <w:rFonts w:hint="default" w:ascii="Times New Roman" w:hAnsi="Times New Roman" w:cs="Times New Roman"/>
          <w:i/>
          <w:iCs/>
          <w:sz w:val="22"/>
          <w:szCs w:val="22"/>
          <w:highlight w:val="none"/>
          <w:lang w:eastAsia="zh-CN"/>
        </w:rPr>
        <w:t xml:space="preserve">: </w:t>
      </w:r>
      <w:r>
        <w:rPr>
          <w:rFonts w:hint="default" w:ascii="Times New Roman" w:hAnsi="Times New Roman" w:cs="Times New Roman"/>
          <w:b/>
          <w:bCs/>
          <w:i/>
          <w:iCs/>
          <w:sz w:val="22"/>
          <w:szCs w:val="22"/>
          <w:highlight w:val="none"/>
          <w:lang w:val="en-US" w:eastAsia="zh-CN"/>
        </w:rPr>
        <w:t xml:space="preserve">For </w:t>
      </w:r>
      <w:r>
        <w:rPr>
          <w:rFonts w:hint="eastAsia" w:cs="Times New Roman"/>
          <w:b/>
          <w:bCs/>
          <w:i/>
          <w:iCs/>
          <w:sz w:val="22"/>
          <w:szCs w:val="22"/>
          <w:highlight w:val="none"/>
          <w:lang w:val="en-US" w:eastAsia="zh-CN"/>
        </w:rPr>
        <w:t xml:space="preserve">a </w:t>
      </w:r>
      <w:r>
        <w:rPr>
          <w:rFonts w:hint="default" w:ascii="Times New Roman" w:hAnsi="Times New Roman" w:eastAsia="宋体" w:cs="Times New Roman"/>
          <w:b/>
          <w:bCs/>
          <w:i/>
          <w:iCs/>
          <w:sz w:val="22"/>
          <w:szCs w:val="22"/>
          <w:highlight w:val="none"/>
        </w:rPr>
        <w:t>CSI-RS frequency-domain density</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eastAsia="微软雅黑" w:cs="Times New Roman"/>
          <w:b/>
          <w:bCs/>
          <w:i/>
          <w:iCs/>
          <w:sz w:val="22"/>
          <w:szCs w:val="22"/>
          <w:highlight w:val="none"/>
        </w:rPr>
        <w:t>ρ</w:t>
      </w:r>
      <w:r>
        <w:rPr>
          <w:rFonts w:hint="default" w:ascii="Times New Roman" w:hAnsi="Times New Roman" w:eastAsia="宋体" w:cs="Times New Roman"/>
          <w:b/>
          <w:bCs/>
          <w:i/>
          <w:iCs/>
          <w:sz w:val="22"/>
          <w:szCs w:val="22"/>
          <w:highlight w:val="none"/>
        </w:rPr>
        <w:t>= 1/</w:t>
      </w:r>
      <w:r>
        <w:rPr>
          <w:rFonts w:hint="eastAsia" w:cs="Times New Roman"/>
          <w:b/>
          <w:bCs/>
          <w:i/>
          <w:iCs/>
          <w:sz w:val="22"/>
          <w:szCs w:val="22"/>
          <w:highlight w:val="none"/>
          <w:lang w:val="en-US" w:eastAsia="zh-CN"/>
        </w:rPr>
        <w:t xml:space="preserve">3 and </w:t>
      </w:r>
      <w:r>
        <w:rPr>
          <w:rFonts w:hint="eastAsia" w:cs="Times New Roman"/>
          <w:b w:val="0"/>
          <w:bCs w:val="0"/>
          <w:i/>
          <w:iCs/>
          <w:sz w:val="22"/>
          <w:szCs w:val="22"/>
          <w:highlight w:val="none"/>
          <w:lang w:val="en-US" w:eastAsia="zh-CN"/>
        </w:rPr>
        <w:t>1/6</w:t>
      </w:r>
      <w:r>
        <w:rPr>
          <w:rFonts w:hint="default" w:ascii="Times New Roman" w:hAnsi="Times New Roman"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K=</w:t>
      </w:r>
      <w:r>
        <w:rPr>
          <w:rFonts w:hint="eastAsia" w:cs="Times New Roman"/>
          <w:b/>
          <w:bCs/>
          <w:i/>
          <w:iCs/>
          <w:sz w:val="22"/>
          <w:szCs w:val="22"/>
          <w:highlight w:val="none"/>
          <w:lang w:val="en-US" w:eastAsia="zh-CN"/>
        </w:rPr>
        <w:t>2</w:t>
      </w:r>
      <w:r>
        <w:rPr>
          <w:rFonts w:hint="default" w:ascii="Times New Roman" w:hAnsi="Times New Roman" w:cs="Times New Roman"/>
          <w:b/>
          <w:bCs/>
          <w:i/>
          <w:iCs/>
          <w:sz w:val="22"/>
          <w:szCs w:val="22"/>
          <w:highlight w:val="none"/>
        </w:rPr>
        <w:t xml:space="preserve"> </w:t>
      </w:r>
      <w:r>
        <w:rPr>
          <w:rFonts w:hint="eastAsia" w:cs="Times New Roman"/>
          <w:b/>
          <w:bCs/>
          <w:i/>
          <w:iCs/>
          <w:sz w:val="22"/>
          <w:szCs w:val="22"/>
          <w:highlight w:val="none"/>
          <w:lang w:val="en-US" w:eastAsia="zh-CN"/>
        </w:rPr>
        <w:t>24</w:t>
      </w:r>
      <w:r>
        <w:rPr>
          <w:rFonts w:hint="default" w:ascii="Times New Roman" w:hAnsi="Times New Roman" w:cs="Times New Roman"/>
          <w:b/>
          <w:bCs/>
          <w:i/>
          <w:iCs/>
          <w:sz w:val="22"/>
          <w:szCs w:val="22"/>
          <w:highlight w:val="none"/>
        </w:rPr>
        <w:t>-port NZP CSI-RS resources in a CSI-RS resource set aggregating 48 CSI-RS ports</w:t>
      </w:r>
      <w:r>
        <w:rPr>
          <w:rFonts w:hint="eastAsia" w:cs="Times New Roman"/>
          <w:b/>
          <w:bCs/>
          <w:i/>
          <w:iCs/>
          <w:sz w:val="22"/>
          <w:szCs w:val="22"/>
          <w:highlight w:val="none"/>
          <w:lang w:val="en-US" w:eastAsia="zh-CN"/>
        </w:rPr>
        <w:t xml:space="preserve"> are not supported. </w:t>
      </w:r>
    </w:p>
    <w:p w14:paraId="1CCCFAD8">
      <w:pPr>
        <w:rPr>
          <w:highlight w:val="none"/>
          <w:lang w:eastAsia="zh-CN"/>
        </w:rPr>
      </w:pPr>
      <w:r>
        <w:rPr>
          <w:rFonts w:hint="eastAsia"/>
          <w:i/>
          <w:iCs/>
          <w:sz w:val="22"/>
          <w:szCs w:val="22"/>
          <w:highlight w:val="none"/>
          <w:lang w:val="en-US" w:eastAsia="zh-CN"/>
        </w:rPr>
        <w:t xml:space="preserve"> </w:t>
      </w:r>
    </w:p>
    <w:p w14:paraId="2991A910">
      <w:pPr>
        <w:pStyle w:val="2"/>
        <w:numPr>
          <w:ilvl w:val="0"/>
          <w:numId w:val="0"/>
        </w:numPr>
        <w:ind w:left="432" w:hanging="432"/>
        <w:rPr>
          <w:highlight w:val="none"/>
        </w:rPr>
      </w:pPr>
      <w:bookmarkStart w:id="5" w:name="_Ref71620620"/>
      <w:bookmarkStart w:id="6" w:name="_Ref124589665"/>
      <w:bookmarkStart w:id="7" w:name="_Ref124671424"/>
      <w:r>
        <w:rPr>
          <w:highlight w:val="none"/>
        </w:rPr>
        <w:t>References</w:t>
      </w:r>
    </w:p>
    <w:p w14:paraId="2A33E7EC">
      <w:pPr>
        <w:numPr>
          <w:ilvl w:val="0"/>
          <w:numId w:val="16"/>
        </w:numPr>
        <w:rPr>
          <w:rFonts w:hint="default"/>
          <w:highlight w:val="none"/>
          <w:lang w:val="en-US" w:eastAsia="zh-CN"/>
        </w:rPr>
      </w:pPr>
      <w:r>
        <w:rPr>
          <w:rFonts w:hint="default" w:eastAsia="宋体"/>
          <w:highlight w:val="none"/>
          <w:lang w:val="en-US" w:eastAsia="zh-CN"/>
        </w:rPr>
        <w:t>RP-251856</w:t>
      </w:r>
      <w:r>
        <w:rPr>
          <w:rFonts w:eastAsia="宋体"/>
          <w:highlight w:val="none"/>
          <w:lang w:val="en-GB" w:eastAsia="zh-CN"/>
        </w:rPr>
        <w:t>, New WID: NR MIMO Phase 6</w:t>
      </w:r>
      <w:r>
        <w:rPr>
          <w:rFonts w:hint="eastAsia" w:eastAsia="宋体"/>
          <w:highlight w:val="none"/>
          <w:lang w:val="en-US" w:eastAsia="zh-CN"/>
        </w:rPr>
        <w:t>,</w:t>
      </w:r>
      <w:r>
        <w:rPr>
          <w:rFonts w:eastAsia="宋体"/>
          <w:highlight w:val="none"/>
          <w:lang w:val="en-GB" w:eastAsia="zh-CN"/>
        </w:rPr>
        <w:t xml:space="preserve"> Prague, Czech Republic, June 9-13, 2025</w:t>
      </w:r>
      <w:bookmarkEnd w:id="4"/>
      <w:bookmarkEnd w:id="5"/>
      <w:bookmarkEnd w:id="6"/>
      <w:bookmarkEnd w:id="7"/>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1"/>
      <w:numFmt w:val="bullet"/>
      <w:lvlText w:val="。"/>
      <w:lvlJc w:val="left"/>
      <w:pPr>
        <w:tabs>
          <w:tab w:val="left" w:pos="0"/>
        </w:tabs>
        <w:ind w:left="1680" w:hanging="420"/>
      </w:pPr>
      <w:rPr>
        <w:rFonts w:hint="eastAsia" w:ascii="PMingLiU" w:hAnsi="PMingLiU" w:eastAsia="PMingLiU"/>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4">
    <w:nsid w:val="229A1A6B"/>
    <w:multiLevelType w:val="multilevel"/>
    <w:tmpl w:val="229A1A6B"/>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8">
    <w:nsid w:val="3C0123BC"/>
    <w:multiLevelType w:val="multilevel"/>
    <w:tmpl w:val="3C0123BC"/>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3FE1497B"/>
    <w:multiLevelType w:val="multilevel"/>
    <w:tmpl w:val="3FE1497B"/>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4E8876F4"/>
    <w:multiLevelType w:val="multilevel"/>
    <w:tmpl w:val="4E8876F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6442A88"/>
    <w:multiLevelType w:val="multilevel"/>
    <w:tmpl w:val="56442A88"/>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7EA95BC4"/>
    <w:multiLevelType w:val="multilevel"/>
    <w:tmpl w:val="7EA95BC4"/>
    <w:lvl w:ilvl="0" w:tentative="0">
      <w:start w:val="1"/>
      <w:numFmt w:val="bullet"/>
      <w:lvlText w:val=""/>
      <w:lvlJc w:val="left"/>
      <w:pPr>
        <w:ind w:left="764" w:hanging="480"/>
      </w:pPr>
      <w:rPr>
        <w:rFonts w:hint="default" w:ascii="Wingdings" w:hAnsi="Wingdings"/>
      </w:rPr>
    </w:lvl>
    <w:lvl w:ilvl="1" w:tentative="0">
      <w:start w:val="1"/>
      <w:numFmt w:val="bullet"/>
      <w:lvlText w:val=""/>
      <w:lvlJc w:val="left"/>
      <w:pPr>
        <w:ind w:left="1679" w:hanging="480"/>
      </w:pPr>
      <w:rPr>
        <w:rFonts w:hint="default" w:ascii="Wingdings" w:hAnsi="Wingdings"/>
      </w:rPr>
    </w:lvl>
    <w:lvl w:ilvl="2" w:tentative="0">
      <w:start w:val="1"/>
      <w:numFmt w:val="bullet"/>
      <w:lvlText w:val=""/>
      <w:lvlJc w:val="left"/>
      <w:pPr>
        <w:ind w:left="2159" w:hanging="480"/>
      </w:pPr>
      <w:rPr>
        <w:rFonts w:hint="default" w:ascii="Wingdings" w:hAnsi="Wingdings"/>
      </w:rPr>
    </w:lvl>
    <w:lvl w:ilvl="3" w:tentative="0">
      <w:start w:val="1"/>
      <w:numFmt w:val="bullet"/>
      <w:lvlText w:val=""/>
      <w:lvlJc w:val="left"/>
      <w:pPr>
        <w:ind w:left="2639" w:hanging="480"/>
      </w:pPr>
      <w:rPr>
        <w:rFonts w:hint="default" w:ascii="Wingdings" w:hAnsi="Wingdings"/>
      </w:rPr>
    </w:lvl>
    <w:lvl w:ilvl="4" w:tentative="0">
      <w:start w:val="1"/>
      <w:numFmt w:val="bullet"/>
      <w:lvlText w:val=""/>
      <w:lvlJc w:val="left"/>
      <w:pPr>
        <w:ind w:left="3119" w:hanging="480"/>
      </w:pPr>
      <w:rPr>
        <w:rFonts w:hint="default" w:ascii="Wingdings" w:hAnsi="Wingdings"/>
      </w:rPr>
    </w:lvl>
    <w:lvl w:ilvl="5" w:tentative="0">
      <w:start w:val="1"/>
      <w:numFmt w:val="bullet"/>
      <w:lvlText w:val=""/>
      <w:lvlJc w:val="left"/>
      <w:pPr>
        <w:ind w:left="3599" w:hanging="480"/>
      </w:pPr>
      <w:rPr>
        <w:rFonts w:hint="default" w:ascii="Wingdings" w:hAnsi="Wingdings"/>
      </w:rPr>
    </w:lvl>
    <w:lvl w:ilvl="6" w:tentative="0">
      <w:start w:val="1"/>
      <w:numFmt w:val="bullet"/>
      <w:lvlText w:val=""/>
      <w:lvlJc w:val="left"/>
      <w:pPr>
        <w:ind w:left="4079" w:hanging="480"/>
      </w:pPr>
      <w:rPr>
        <w:rFonts w:hint="default" w:ascii="Wingdings" w:hAnsi="Wingdings"/>
      </w:rPr>
    </w:lvl>
    <w:lvl w:ilvl="7" w:tentative="0">
      <w:start w:val="1"/>
      <w:numFmt w:val="bullet"/>
      <w:lvlText w:val=""/>
      <w:lvlJc w:val="left"/>
      <w:pPr>
        <w:ind w:left="4559" w:hanging="480"/>
      </w:pPr>
      <w:rPr>
        <w:rFonts w:hint="default" w:ascii="Wingdings" w:hAnsi="Wingdings"/>
      </w:rPr>
    </w:lvl>
    <w:lvl w:ilvl="8" w:tentative="0">
      <w:start w:val="1"/>
      <w:numFmt w:val="bullet"/>
      <w:lvlText w:val=""/>
      <w:lvlJc w:val="left"/>
      <w:pPr>
        <w:ind w:left="5039" w:hanging="480"/>
      </w:pPr>
      <w:rPr>
        <w:rFonts w:hint="default" w:ascii="Wingdings" w:hAnsi="Wingdings"/>
      </w:rPr>
    </w:lvl>
  </w:abstractNum>
  <w:num w:numId="1">
    <w:abstractNumId w:val="6"/>
  </w:num>
  <w:num w:numId="2">
    <w:abstractNumId w:val="0"/>
  </w:num>
  <w:num w:numId="3">
    <w:abstractNumId w:val="7"/>
  </w:num>
  <w:num w:numId="4">
    <w:abstractNumId w:val="2"/>
  </w:num>
  <w:num w:numId="5">
    <w:abstractNumId w:val="5"/>
  </w:num>
  <w:num w:numId="6">
    <w:abstractNumId w:val="12"/>
  </w:num>
  <w:num w:numId="7">
    <w:abstractNumId w:val="10"/>
  </w:num>
  <w:num w:numId="8">
    <w:abstractNumId w:val="4"/>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13"/>
  </w:num>
  <w:num w:numId="14">
    <w:abstractNumId w:val="1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3CE0"/>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1D"/>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2A6114"/>
    <w:rsid w:val="01DF6260"/>
    <w:rsid w:val="02146E67"/>
    <w:rsid w:val="02D2752A"/>
    <w:rsid w:val="04395ECC"/>
    <w:rsid w:val="04473600"/>
    <w:rsid w:val="044B7594"/>
    <w:rsid w:val="04AC7907"/>
    <w:rsid w:val="05CA472F"/>
    <w:rsid w:val="061340E1"/>
    <w:rsid w:val="0651595A"/>
    <w:rsid w:val="068104E9"/>
    <w:rsid w:val="075D06A0"/>
    <w:rsid w:val="07BE5F96"/>
    <w:rsid w:val="07D77390"/>
    <w:rsid w:val="07EF7D14"/>
    <w:rsid w:val="08B651F8"/>
    <w:rsid w:val="09E162A4"/>
    <w:rsid w:val="0A0F2E11"/>
    <w:rsid w:val="0A1376D2"/>
    <w:rsid w:val="0A222B45"/>
    <w:rsid w:val="0A8F3F52"/>
    <w:rsid w:val="0AD00CD6"/>
    <w:rsid w:val="0B3A3EBE"/>
    <w:rsid w:val="0BA43F60"/>
    <w:rsid w:val="0BEB2C7F"/>
    <w:rsid w:val="0C9D12A3"/>
    <w:rsid w:val="0CC26F44"/>
    <w:rsid w:val="0DCB75F9"/>
    <w:rsid w:val="0DD759F4"/>
    <w:rsid w:val="0E4F7C80"/>
    <w:rsid w:val="0F057031"/>
    <w:rsid w:val="0F1A5B71"/>
    <w:rsid w:val="0F275267"/>
    <w:rsid w:val="0F386966"/>
    <w:rsid w:val="0FB414F0"/>
    <w:rsid w:val="10655CF3"/>
    <w:rsid w:val="107A6B0B"/>
    <w:rsid w:val="10D82538"/>
    <w:rsid w:val="1138002B"/>
    <w:rsid w:val="11724F74"/>
    <w:rsid w:val="11B00A36"/>
    <w:rsid w:val="11C212A8"/>
    <w:rsid w:val="121F796A"/>
    <w:rsid w:val="127B309C"/>
    <w:rsid w:val="12E81295"/>
    <w:rsid w:val="12FD2134"/>
    <w:rsid w:val="13A4001D"/>
    <w:rsid w:val="143C0C23"/>
    <w:rsid w:val="14661880"/>
    <w:rsid w:val="14BA1BCC"/>
    <w:rsid w:val="150D6C9B"/>
    <w:rsid w:val="155142DE"/>
    <w:rsid w:val="155F7836"/>
    <w:rsid w:val="15651DDF"/>
    <w:rsid w:val="15AF7257"/>
    <w:rsid w:val="15DD2016"/>
    <w:rsid w:val="160C0A32"/>
    <w:rsid w:val="161D0043"/>
    <w:rsid w:val="177A441B"/>
    <w:rsid w:val="17B9577E"/>
    <w:rsid w:val="17D82D43"/>
    <w:rsid w:val="17DE07C9"/>
    <w:rsid w:val="18550589"/>
    <w:rsid w:val="18A8690B"/>
    <w:rsid w:val="18FB229D"/>
    <w:rsid w:val="1919375C"/>
    <w:rsid w:val="196D1903"/>
    <w:rsid w:val="19704F4F"/>
    <w:rsid w:val="198033E4"/>
    <w:rsid w:val="1A787F29"/>
    <w:rsid w:val="1B212B46"/>
    <w:rsid w:val="1B5C3255"/>
    <w:rsid w:val="1B60559A"/>
    <w:rsid w:val="1BAA4EF3"/>
    <w:rsid w:val="1BAC5844"/>
    <w:rsid w:val="1BF4561F"/>
    <w:rsid w:val="1C05536E"/>
    <w:rsid w:val="1C9D24FF"/>
    <w:rsid w:val="1CE63B84"/>
    <w:rsid w:val="1D1C41F7"/>
    <w:rsid w:val="1DF8723B"/>
    <w:rsid w:val="1E127EC3"/>
    <w:rsid w:val="1E5D0198"/>
    <w:rsid w:val="1E915B8C"/>
    <w:rsid w:val="1F550E6F"/>
    <w:rsid w:val="205368CC"/>
    <w:rsid w:val="20C107E7"/>
    <w:rsid w:val="21156894"/>
    <w:rsid w:val="22C34341"/>
    <w:rsid w:val="2355768F"/>
    <w:rsid w:val="23DD43FC"/>
    <w:rsid w:val="249920BA"/>
    <w:rsid w:val="24B8590D"/>
    <w:rsid w:val="24C50845"/>
    <w:rsid w:val="256E6C38"/>
    <w:rsid w:val="25BC1C48"/>
    <w:rsid w:val="25CC3A26"/>
    <w:rsid w:val="260D4251"/>
    <w:rsid w:val="261C4494"/>
    <w:rsid w:val="26976960"/>
    <w:rsid w:val="275B2D9A"/>
    <w:rsid w:val="27A97FAA"/>
    <w:rsid w:val="282910EA"/>
    <w:rsid w:val="287B6958"/>
    <w:rsid w:val="28B60BD0"/>
    <w:rsid w:val="28CB21A2"/>
    <w:rsid w:val="293E7518"/>
    <w:rsid w:val="2B6666EB"/>
    <w:rsid w:val="2BCA6741"/>
    <w:rsid w:val="2BF67180"/>
    <w:rsid w:val="2CB85D0E"/>
    <w:rsid w:val="2CBB4DDE"/>
    <w:rsid w:val="2E512907"/>
    <w:rsid w:val="2E7C1C5E"/>
    <w:rsid w:val="2EC622A9"/>
    <w:rsid w:val="2FEA7DBD"/>
    <w:rsid w:val="301E2CA7"/>
    <w:rsid w:val="30463532"/>
    <w:rsid w:val="308C0468"/>
    <w:rsid w:val="31126BC0"/>
    <w:rsid w:val="316D4170"/>
    <w:rsid w:val="32195D2C"/>
    <w:rsid w:val="33413084"/>
    <w:rsid w:val="339E7DD8"/>
    <w:rsid w:val="33B977C6"/>
    <w:rsid w:val="33D10F85"/>
    <w:rsid w:val="33FB03B1"/>
    <w:rsid w:val="342235BE"/>
    <w:rsid w:val="35BC17F0"/>
    <w:rsid w:val="379B16DB"/>
    <w:rsid w:val="37D95FAB"/>
    <w:rsid w:val="381D3E76"/>
    <w:rsid w:val="382D0E39"/>
    <w:rsid w:val="398203AB"/>
    <w:rsid w:val="398D772B"/>
    <w:rsid w:val="39E56EC5"/>
    <w:rsid w:val="3A824DB6"/>
    <w:rsid w:val="3B181276"/>
    <w:rsid w:val="3B820DE6"/>
    <w:rsid w:val="3B824942"/>
    <w:rsid w:val="3C1C4B91"/>
    <w:rsid w:val="3D125F3B"/>
    <w:rsid w:val="3D287BE4"/>
    <w:rsid w:val="3D534677"/>
    <w:rsid w:val="3D8E5820"/>
    <w:rsid w:val="3E3948A1"/>
    <w:rsid w:val="3ED41931"/>
    <w:rsid w:val="402B4A0B"/>
    <w:rsid w:val="40784565"/>
    <w:rsid w:val="41210389"/>
    <w:rsid w:val="412D70FE"/>
    <w:rsid w:val="41F5553B"/>
    <w:rsid w:val="42033200"/>
    <w:rsid w:val="42892A5A"/>
    <w:rsid w:val="42C66F16"/>
    <w:rsid w:val="42FC2DB6"/>
    <w:rsid w:val="431C4AFF"/>
    <w:rsid w:val="434C0DE9"/>
    <w:rsid w:val="4354177E"/>
    <w:rsid w:val="43A55671"/>
    <w:rsid w:val="44EA49C0"/>
    <w:rsid w:val="44F971E5"/>
    <w:rsid w:val="456D0411"/>
    <w:rsid w:val="45971F5E"/>
    <w:rsid w:val="45E65C46"/>
    <w:rsid w:val="47CA56A6"/>
    <w:rsid w:val="48D662CD"/>
    <w:rsid w:val="48DB1D9C"/>
    <w:rsid w:val="496717F9"/>
    <w:rsid w:val="4AA84B5C"/>
    <w:rsid w:val="4AD64873"/>
    <w:rsid w:val="4B564888"/>
    <w:rsid w:val="4BE156B5"/>
    <w:rsid w:val="4CE06FC7"/>
    <w:rsid w:val="4D785BA5"/>
    <w:rsid w:val="4DED20EF"/>
    <w:rsid w:val="4E741D2F"/>
    <w:rsid w:val="4E836CEC"/>
    <w:rsid w:val="4E9B7D9D"/>
    <w:rsid w:val="4F060412"/>
    <w:rsid w:val="5004101F"/>
    <w:rsid w:val="504A1A7A"/>
    <w:rsid w:val="50E177E0"/>
    <w:rsid w:val="50E7594A"/>
    <w:rsid w:val="50F71351"/>
    <w:rsid w:val="51C00049"/>
    <w:rsid w:val="51D04F1B"/>
    <w:rsid w:val="51EB0D32"/>
    <w:rsid w:val="52160612"/>
    <w:rsid w:val="523227C6"/>
    <w:rsid w:val="526856F0"/>
    <w:rsid w:val="53DD5244"/>
    <w:rsid w:val="53FC752F"/>
    <w:rsid w:val="54C46D2D"/>
    <w:rsid w:val="54D47B64"/>
    <w:rsid w:val="54D70EDA"/>
    <w:rsid w:val="54FD2AA7"/>
    <w:rsid w:val="558716C7"/>
    <w:rsid w:val="558E1350"/>
    <w:rsid w:val="559C18D0"/>
    <w:rsid w:val="56786C15"/>
    <w:rsid w:val="57BC3869"/>
    <w:rsid w:val="57D32355"/>
    <w:rsid w:val="57D4431F"/>
    <w:rsid w:val="57EA769F"/>
    <w:rsid w:val="58BE77D8"/>
    <w:rsid w:val="58CB2552"/>
    <w:rsid w:val="58F53365"/>
    <w:rsid w:val="59372DB8"/>
    <w:rsid w:val="595C281E"/>
    <w:rsid w:val="597B1864"/>
    <w:rsid w:val="5A517EA9"/>
    <w:rsid w:val="5A737E20"/>
    <w:rsid w:val="5B053C6E"/>
    <w:rsid w:val="5B942355"/>
    <w:rsid w:val="5BA41DFE"/>
    <w:rsid w:val="5C052CF9"/>
    <w:rsid w:val="5C2A783E"/>
    <w:rsid w:val="5CAC7619"/>
    <w:rsid w:val="5D011713"/>
    <w:rsid w:val="5D911DBC"/>
    <w:rsid w:val="5ED521CC"/>
    <w:rsid w:val="5F3A45D1"/>
    <w:rsid w:val="5FA42829"/>
    <w:rsid w:val="5FD21144"/>
    <w:rsid w:val="603F692C"/>
    <w:rsid w:val="60557755"/>
    <w:rsid w:val="60667BB6"/>
    <w:rsid w:val="61293C2F"/>
    <w:rsid w:val="618828A9"/>
    <w:rsid w:val="61972646"/>
    <w:rsid w:val="61AC1296"/>
    <w:rsid w:val="62B15989"/>
    <w:rsid w:val="62C3746A"/>
    <w:rsid w:val="630E3852"/>
    <w:rsid w:val="64062AB6"/>
    <w:rsid w:val="64281C7B"/>
    <w:rsid w:val="6477050C"/>
    <w:rsid w:val="653D05C3"/>
    <w:rsid w:val="655B7E2E"/>
    <w:rsid w:val="655D7702"/>
    <w:rsid w:val="65C0156C"/>
    <w:rsid w:val="662841B4"/>
    <w:rsid w:val="665C20B0"/>
    <w:rsid w:val="689351E4"/>
    <w:rsid w:val="68A14D4D"/>
    <w:rsid w:val="68FE7BE4"/>
    <w:rsid w:val="6A49572E"/>
    <w:rsid w:val="6ADF5158"/>
    <w:rsid w:val="6B2C02A3"/>
    <w:rsid w:val="6B9419A4"/>
    <w:rsid w:val="6BDD031E"/>
    <w:rsid w:val="6C0C0548"/>
    <w:rsid w:val="6C241403"/>
    <w:rsid w:val="6D20685D"/>
    <w:rsid w:val="6D376648"/>
    <w:rsid w:val="6D627650"/>
    <w:rsid w:val="6DE969E3"/>
    <w:rsid w:val="6DFF3AF0"/>
    <w:rsid w:val="6E680453"/>
    <w:rsid w:val="6EA445F4"/>
    <w:rsid w:val="709D754D"/>
    <w:rsid w:val="70D71779"/>
    <w:rsid w:val="717E112C"/>
    <w:rsid w:val="71F728EF"/>
    <w:rsid w:val="7206464C"/>
    <w:rsid w:val="72551554"/>
    <w:rsid w:val="72B6607D"/>
    <w:rsid w:val="72D27981"/>
    <w:rsid w:val="73A73116"/>
    <w:rsid w:val="73FA6E79"/>
    <w:rsid w:val="74363F40"/>
    <w:rsid w:val="748674AA"/>
    <w:rsid w:val="74910929"/>
    <w:rsid w:val="755C3532"/>
    <w:rsid w:val="75970ABF"/>
    <w:rsid w:val="75EC7A54"/>
    <w:rsid w:val="762878B8"/>
    <w:rsid w:val="769509C9"/>
    <w:rsid w:val="776534C5"/>
    <w:rsid w:val="778C124A"/>
    <w:rsid w:val="780C2A3E"/>
    <w:rsid w:val="783B4258"/>
    <w:rsid w:val="787A3DD8"/>
    <w:rsid w:val="78F07D11"/>
    <w:rsid w:val="79411632"/>
    <w:rsid w:val="79927E6B"/>
    <w:rsid w:val="7A512115"/>
    <w:rsid w:val="7AD85EF1"/>
    <w:rsid w:val="7B230D85"/>
    <w:rsid w:val="7BC462D5"/>
    <w:rsid w:val="7BEE6EAE"/>
    <w:rsid w:val="7DAD4B61"/>
    <w:rsid w:val="7DCC7C86"/>
    <w:rsid w:val="7EE0342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2"/>
    <w:next w:val="1"/>
    <w:link w:val="68"/>
    <w:qFormat/>
    <w:uiPriority w:val="0"/>
    <w:pPr>
      <w:keepNext/>
      <w:numPr>
        <w:ilvl w:val="1"/>
        <w:numId w:val="1"/>
      </w:numPr>
      <w:tabs>
        <w:tab w:val="clear" w:pos="432"/>
      </w:tabs>
      <w:spacing w:before="120"/>
      <w:outlineLvl w:val="1"/>
    </w:pPr>
    <w:rPr>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9</Pages>
  <Words>549</Words>
  <Characters>3075</Characters>
  <Lines>117</Lines>
  <Paragraphs>33</Paragraphs>
  <TotalTime>3</TotalTime>
  <ScaleCrop>false</ScaleCrop>
  <LinksUpToDate>false</LinksUpToDate>
  <CharactersWithSpaces>3607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2025-10-03T04:03:39Z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2052-12.1.0.22529</vt:lpwstr>
  </property>
  <property fmtid="{D5CDD505-2E9C-101B-9397-08002B2CF9AE}" pid="10" name="ICV">
    <vt:lpwstr>C7E48EF5A6E54B4BAC3DA4EE69C801B7_13</vt:lpwstr>
  </property>
  <property fmtid="{D5CDD505-2E9C-101B-9397-08002B2CF9AE}" pid="11" name="KSOTemplateDocerSaveRecord">
    <vt:lpwstr>eyJoZGlkIjoiNWYwMmU5YzkwNjFmNzI1Njk4ZjczMWMxOTZlMzdhNTQiLCJ1c2VySWQiOiIxNDkxOTYwMzU0In0=</vt:lpwstr>
  </property>
</Properties>
</file>